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cs="Times New Roman" w:asciiTheme="minorEastAsia" w:hAnsiTheme="minorEastAsia" w:eastAsiaTheme="minorEastAsia"/>
          <w:b/>
          <w:sz w:val="28"/>
          <w:szCs w:val="28"/>
          <w:lang w:eastAsia="zh-CN"/>
        </w:rPr>
      </w:pPr>
      <w:r>
        <w:rPr>
          <w:rFonts w:hint="eastAsia" w:cs="Times New Roman" w:asciiTheme="minorEastAsia" w:hAnsiTheme="minorEastAsia"/>
          <w:b/>
          <w:sz w:val="28"/>
          <w:szCs w:val="28"/>
        </w:rPr>
        <w:t>以色列参会</w:t>
      </w:r>
      <w:r>
        <w:fldChar w:fldCharType="begin"/>
      </w:r>
      <w:r>
        <w:instrText xml:space="preserve"> HYPERLINK "http://www.zjkjt.gov.cn/html/node05/seedoc.jsp?xwxh=1&amp;fjbh=4138&amp;tablename=2013%C4%EA%B5%DA%D2%BB%C5%FA%D6%D0%BF%C6%D4%BA%D4%BA%B5%D8%B6%D4%BD%D3%CF%EE%C4%BF%BB%E3%D7%DC%B1%ED" </w:instrText>
      </w:r>
      <w:r>
        <w:fldChar w:fldCharType="separate"/>
      </w:r>
      <w:r>
        <w:rPr>
          <w:rFonts w:hint="eastAsia" w:cs="Times New Roman" w:asciiTheme="minorEastAsia" w:hAnsiTheme="minorEastAsia"/>
          <w:b/>
          <w:sz w:val="28"/>
          <w:szCs w:val="28"/>
        </w:rPr>
        <w:t>项目表</w:t>
      </w:r>
      <w:r>
        <w:rPr>
          <w:rFonts w:hint="eastAsia" w:cs="Times New Roman" w:asciiTheme="minorEastAsia" w:hAnsiTheme="minorEastAsia"/>
          <w:b/>
          <w:sz w:val="28"/>
          <w:szCs w:val="28"/>
        </w:rPr>
        <w:fldChar w:fldCharType="end"/>
      </w:r>
      <w:r>
        <w:rPr>
          <w:rFonts w:hint="eastAsia" w:cs="Times New Roman" w:asciiTheme="minorEastAsia" w:hAnsiTheme="minorEastAsia"/>
          <w:b/>
          <w:sz w:val="28"/>
          <w:szCs w:val="28"/>
          <w:lang w:eastAsia="zh-CN"/>
        </w:rPr>
        <w:t>（第一批）</w:t>
      </w:r>
      <w:bookmarkStart w:id="3" w:name="_GoBack"/>
      <w:bookmarkEnd w:id="3"/>
    </w:p>
    <w:p>
      <w:pPr>
        <w:spacing w:line="500" w:lineRule="exact"/>
        <w:jc w:val="center"/>
        <w:rPr>
          <w:rFonts w:hint="eastAsia" w:cs="Times New Roman" w:asciiTheme="minorEastAsia" w:hAnsiTheme="minorEastAsia"/>
          <w:b/>
          <w:sz w:val="28"/>
          <w:szCs w:val="28"/>
          <w:lang w:val="en-US" w:eastAsia="zh-CN"/>
        </w:rPr>
      </w:pPr>
      <w:r>
        <w:rPr>
          <w:rFonts w:hint="eastAsia" w:cs="Times New Roman" w:asciiTheme="minorEastAsia" w:hAnsiTheme="minorEastAsia"/>
          <w:b/>
          <w:sz w:val="28"/>
          <w:szCs w:val="28"/>
          <w:lang w:eastAsia="zh-CN"/>
        </w:rPr>
        <w:t>（</w:t>
      </w:r>
      <w:r>
        <w:rPr>
          <w:rFonts w:hint="eastAsia" w:cs="Times New Roman" w:asciiTheme="minorEastAsia" w:hAnsiTheme="minorEastAsia"/>
          <w:b/>
          <w:sz w:val="28"/>
          <w:szCs w:val="28"/>
          <w:lang w:val="en-US" w:eastAsia="zh-CN"/>
        </w:rPr>
        <w:t>人工智能、生命科学、清洁能源三大领域）</w:t>
      </w:r>
    </w:p>
    <w:p>
      <w:pPr>
        <w:spacing w:line="500" w:lineRule="exact"/>
        <w:jc w:val="center"/>
        <w:rPr>
          <w:rFonts w:hint="eastAsia" w:cs="Times New Roman" w:asciiTheme="minorEastAsia" w:hAnsiTheme="minorEastAsia"/>
          <w:b/>
          <w:sz w:val="28"/>
          <w:szCs w:val="28"/>
          <w:lang w:eastAsia="zh-CN"/>
        </w:rPr>
      </w:pPr>
    </w:p>
    <w:tbl>
      <w:tblPr>
        <w:tblStyle w:val="5"/>
        <w:tblW w:w="14950" w:type="dxa"/>
        <w:jc w:val="center"/>
        <w:tblInd w:w="127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48"/>
        <w:gridCol w:w="1665"/>
        <w:gridCol w:w="1518"/>
        <w:gridCol w:w="1952"/>
        <w:gridCol w:w="5774"/>
        <w:gridCol w:w="319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28" w:hRule="atLeast"/>
          <w:jc w:val="center"/>
        </w:trPr>
        <w:tc>
          <w:tcPr>
            <w:tcW w:w="848" w:type="dxa"/>
            <w:shd w:val="clear" w:color="auto" w:fill="8DB3E2" w:themeFill="text2" w:themeFillTint="66"/>
            <w:vAlign w:val="center"/>
          </w:tcPr>
          <w:p>
            <w:pPr>
              <w:jc w:val="center"/>
              <w:rPr>
                <w:b/>
              </w:rPr>
            </w:pPr>
            <w:r>
              <w:rPr>
                <w:rFonts w:hint="eastAsia"/>
                <w:b/>
              </w:rPr>
              <w:t>编号</w:t>
            </w:r>
          </w:p>
        </w:tc>
        <w:tc>
          <w:tcPr>
            <w:tcW w:w="1665" w:type="dxa"/>
            <w:shd w:val="clear" w:color="auto" w:fill="8DB3E2" w:themeFill="text2" w:themeFillTint="66"/>
            <w:vAlign w:val="center"/>
          </w:tcPr>
          <w:p>
            <w:pPr>
              <w:jc w:val="center"/>
              <w:rPr>
                <w:b/>
              </w:rPr>
            </w:pPr>
            <w:r>
              <w:rPr>
                <w:rFonts w:hint="eastAsia"/>
                <w:b/>
              </w:rPr>
              <w:t>公司名称</w:t>
            </w:r>
          </w:p>
        </w:tc>
        <w:tc>
          <w:tcPr>
            <w:tcW w:w="1518" w:type="dxa"/>
            <w:shd w:val="clear" w:color="auto" w:fill="8DB3E2" w:themeFill="text2" w:themeFillTint="66"/>
            <w:vAlign w:val="center"/>
          </w:tcPr>
          <w:p>
            <w:pPr>
              <w:jc w:val="center"/>
              <w:rPr>
                <w:b/>
              </w:rPr>
            </w:pPr>
            <w:r>
              <w:rPr>
                <w:rFonts w:hint="eastAsia"/>
                <w:b/>
              </w:rPr>
              <w:t>项目名称</w:t>
            </w:r>
          </w:p>
        </w:tc>
        <w:tc>
          <w:tcPr>
            <w:tcW w:w="1952" w:type="dxa"/>
            <w:shd w:val="clear" w:color="auto" w:fill="8DB3E2" w:themeFill="text2" w:themeFillTint="66"/>
            <w:vAlign w:val="center"/>
          </w:tcPr>
          <w:p>
            <w:pPr>
              <w:jc w:val="center"/>
              <w:rPr>
                <w:rFonts w:hint="eastAsia" w:eastAsiaTheme="minorEastAsia"/>
                <w:b/>
                <w:lang w:eastAsia="zh-CN"/>
              </w:rPr>
            </w:pPr>
            <w:r>
              <w:rPr>
                <w:rFonts w:hint="eastAsia"/>
                <w:b/>
                <w:lang w:eastAsia="zh-CN"/>
              </w:rPr>
              <w:t>所属领域</w:t>
            </w:r>
          </w:p>
        </w:tc>
        <w:tc>
          <w:tcPr>
            <w:tcW w:w="5774" w:type="dxa"/>
            <w:shd w:val="clear" w:color="auto" w:fill="8DB3E2" w:themeFill="text2" w:themeFillTint="66"/>
            <w:vAlign w:val="center"/>
          </w:tcPr>
          <w:p>
            <w:pPr>
              <w:jc w:val="center"/>
              <w:rPr>
                <w:rFonts w:hint="eastAsia" w:eastAsiaTheme="minorEastAsia"/>
                <w:b/>
                <w:lang w:eastAsia="zh-CN"/>
              </w:rPr>
            </w:pPr>
            <w:r>
              <w:rPr>
                <w:rFonts w:hint="eastAsia"/>
                <w:b/>
              </w:rPr>
              <w:t>项目</w:t>
            </w:r>
            <w:r>
              <w:rPr>
                <w:rFonts w:hint="eastAsia"/>
                <w:b/>
                <w:lang w:eastAsia="zh-CN"/>
              </w:rPr>
              <w:t>发展现状</w:t>
            </w:r>
          </w:p>
        </w:tc>
        <w:tc>
          <w:tcPr>
            <w:tcW w:w="3193" w:type="dxa"/>
            <w:shd w:val="clear" w:color="auto" w:fill="8DB3E2" w:themeFill="text2" w:themeFillTint="66"/>
            <w:vAlign w:val="center"/>
          </w:tcPr>
          <w:p>
            <w:pPr>
              <w:jc w:val="center"/>
              <w:rPr>
                <w:rFonts w:hint="eastAsia" w:eastAsiaTheme="minorEastAsia"/>
                <w:b/>
                <w:lang w:eastAsia="zh-CN"/>
              </w:rPr>
            </w:pPr>
            <w:r>
              <w:rPr>
                <w:rFonts w:hint="eastAsia"/>
                <w:b/>
                <w:lang w:eastAsia="zh-CN"/>
              </w:rPr>
              <w:t>合作需求</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7" w:hRule="atLeast"/>
          <w:jc w:val="center"/>
        </w:trPr>
        <w:tc>
          <w:tcPr>
            <w:tcW w:w="14950" w:type="dxa"/>
            <w:gridSpan w:val="6"/>
            <w:shd w:val="clear" w:color="auto" w:fill="B8CCE4" w:themeFill="accent1" w:themeFillTint="66"/>
            <w:vAlign w:val="center"/>
          </w:tcPr>
          <w:p>
            <w:pPr>
              <w:jc w:val="center"/>
              <w:rPr>
                <w:rFonts w:hint="eastAsia"/>
                <w:b/>
                <w:lang w:eastAsia="zh-CN"/>
              </w:rPr>
            </w:pPr>
            <w:r>
              <w:rPr>
                <w:rFonts w:hint="eastAsia" w:ascii="Times New Roman" w:hAnsi="Times New Roman" w:cs="Times New Roman"/>
                <w:b/>
                <w:bCs/>
                <w:sz w:val="22"/>
                <w:lang w:val="en-US" w:eastAsia="zh-CN"/>
              </w:rPr>
              <w:t>人工智能</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A-01</w:t>
            </w:r>
          </w:p>
        </w:tc>
        <w:tc>
          <w:tcPr>
            <w:tcW w:w="1665" w:type="dxa"/>
            <w:vAlign w:val="center"/>
          </w:tcPr>
          <w:p>
            <w:pPr>
              <w:jc w:val="center"/>
              <w:rPr>
                <w:rFonts w:hint="eastAsia" w:eastAsiaTheme="minorEastAsia"/>
                <w:lang w:eastAsia="zh-CN"/>
              </w:rPr>
            </w:pPr>
            <w:r>
              <w:rPr>
                <w:rFonts w:hint="eastAsia"/>
              </w:rPr>
              <w:t xml:space="preserve">VAYAVISION </w:t>
            </w:r>
          </w:p>
        </w:tc>
        <w:tc>
          <w:tcPr>
            <w:tcW w:w="1518" w:type="dxa"/>
            <w:vAlign w:val="center"/>
          </w:tcPr>
          <w:p>
            <w:pPr>
              <w:jc w:val="both"/>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汽车自动驾驶环境感知解决方案</w:t>
            </w:r>
          </w:p>
        </w:tc>
        <w:tc>
          <w:tcPr>
            <w:tcW w:w="195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人工智能</w:t>
            </w:r>
          </w:p>
        </w:tc>
        <w:tc>
          <w:tcPr>
            <w:tcW w:w="5774" w:type="dxa"/>
            <w:vAlign w:val="center"/>
          </w:tcPr>
          <w:p>
            <w:pPr>
              <w:jc w:val="left"/>
              <w:rPr>
                <w:rFonts w:hint="eastAsia"/>
                <w:lang w:val="en-US" w:eastAsia="zh-CN"/>
              </w:rPr>
            </w:pPr>
            <w:r>
              <w:rPr>
                <w:rFonts w:hint="eastAsia"/>
                <w:lang w:val="en-US" w:eastAsia="zh-CN"/>
              </w:rPr>
              <w:t>VAYAVISION是领先的环境感知解决方案，可为车辆提供有关动态变化驾驶环境的重要信息，从而实现更安全可靠的自动驾驶。 该软件解决方案包括最先进的原始数据融合和提升采样技术、人工智能和计算机视觉。 VAYAVISION与全球领先的OEM和一级供应商合作，为全面的自动驾驶汽车环境理念铺平了道路。</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kern w:val="0"/>
                <w:sz w:val="22"/>
                <w:lang w:eastAsia="zh-CN"/>
              </w:rPr>
              <w:t>寻求投资及合作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2"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A-02</w:t>
            </w:r>
          </w:p>
        </w:tc>
        <w:tc>
          <w:tcPr>
            <w:tcW w:w="1665" w:type="dxa"/>
            <w:vAlign w:val="center"/>
          </w:tcPr>
          <w:p>
            <w:pPr>
              <w:jc w:val="center"/>
              <w:rPr>
                <w:rFonts w:hint="eastAsia"/>
              </w:rPr>
            </w:pPr>
            <w:r>
              <w:rPr>
                <w:rFonts w:hint="eastAsia"/>
              </w:rPr>
              <w:t>NovaSight</w:t>
            </w:r>
          </w:p>
        </w:tc>
        <w:tc>
          <w:tcPr>
            <w:tcW w:w="1518" w:type="dxa"/>
            <w:vAlign w:val="center"/>
          </w:tcPr>
          <w:p>
            <w:pPr>
              <w:jc w:val="center"/>
              <w:rPr>
                <w:rFonts w:hint="eastAsia" w:ascii="Times New Roman" w:hAnsi="Times New Roman" w:cs="Times New Roman"/>
                <w:kern w:val="0"/>
                <w:sz w:val="22"/>
              </w:rPr>
            </w:pPr>
            <w:r>
              <w:rPr>
                <w:rFonts w:hint="eastAsia" w:ascii="Times New Roman" w:hAnsi="Times New Roman" w:cs="Times New Roman"/>
                <w:sz w:val="22"/>
                <w:lang w:val="en-US" w:eastAsia="zh-CN"/>
              </w:rPr>
              <w:t>儿童眼睛治疗技术</w:t>
            </w:r>
          </w:p>
        </w:tc>
        <w:tc>
          <w:tcPr>
            <w:tcW w:w="195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人工智能</w:t>
            </w:r>
          </w:p>
        </w:tc>
        <w:tc>
          <w:tcPr>
            <w:tcW w:w="5774" w:type="dxa"/>
            <w:vAlign w:val="center"/>
          </w:tcPr>
          <w:p>
            <w:pPr>
              <w:jc w:val="left"/>
              <w:rPr>
                <w:rFonts w:hint="eastAsia"/>
                <w:lang w:val="en-US" w:eastAsia="zh-CN"/>
              </w:rPr>
            </w:pPr>
            <w:r>
              <w:rPr>
                <w:rFonts w:hint="eastAsia"/>
                <w:lang w:val="en-US" w:eastAsia="zh-CN"/>
              </w:rPr>
              <w:t>儿童为看到未来而生-在NovaSight，我们让他们的愿望得以实现。NovaSight通过将眼球追踪和AI技术的强大功能结合在一起，为视力筛查和治疗引入了颠覆性解决方案。 我们的产品旨在防止儿童视力下降，专为满足儿童各种特定需求和注意力而设计。</w:t>
            </w:r>
          </w:p>
          <w:p>
            <w:pPr>
              <w:jc w:val="left"/>
              <w:rPr>
                <w:rFonts w:hint="eastAsia"/>
                <w:lang w:val="en-US" w:eastAsia="zh-CN"/>
              </w:rPr>
            </w:pPr>
            <w:r>
              <w:rPr>
                <w:rFonts w:hint="eastAsia"/>
                <w:lang w:val="en-US" w:eastAsia="zh-CN"/>
              </w:rPr>
              <w:t>NovaSight的创新技术吸引了众多业内人士的关注，其中我们决定与最大的眼保公司之一（市值超过500亿美元，名称保密）合作，为EyeSwift系统签署全球OEM协议。 销售已于2019年第二季度开始。NovaSight迄今已筹集了700万美元，另外还有100万美元来自政府拨款。</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97" w:hRule="atLeast"/>
          <w:jc w:val="center"/>
        </w:trPr>
        <w:tc>
          <w:tcPr>
            <w:tcW w:w="848" w:type="dxa"/>
            <w:vAlign w:val="center"/>
          </w:tcPr>
          <w:p>
            <w:pPr>
              <w:jc w:val="center"/>
              <w:rPr>
                <w:rFonts w:hint="default" w:ascii="Times New Roman" w:hAnsi="Times New Roman" w:cs="Times New Roman"/>
                <w:b/>
                <w:sz w:val="22"/>
                <w:lang w:val="en-US" w:eastAsia="zh-CN"/>
              </w:rPr>
            </w:pPr>
            <w:r>
              <w:rPr>
                <w:rFonts w:hint="eastAsia" w:ascii="Times New Roman" w:hAnsi="Times New Roman" w:cs="Times New Roman"/>
                <w:b/>
                <w:sz w:val="22"/>
                <w:lang w:val="en-US" w:eastAsia="zh-CN"/>
              </w:rPr>
              <w:t>A-03</w:t>
            </w:r>
          </w:p>
        </w:tc>
        <w:tc>
          <w:tcPr>
            <w:tcW w:w="1665" w:type="dxa"/>
            <w:vAlign w:val="center"/>
          </w:tcPr>
          <w:p>
            <w:pPr>
              <w:jc w:val="center"/>
              <w:rPr>
                <w:rFonts w:hint="eastAsia"/>
              </w:rPr>
            </w:pPr>
            <w:r>
              <w:rPr>
                <w:rFonts w:hint="eastAsia"/>
              </w:rPr>
              <w:t>Eyesight Technologies Ltd.</w:t>
            </w:r>
          </w:p>
        </w:tc>
        <w:tc>
          <w:tcPr>
            <w:tcW w:w="1518" w:type="dxa"/>
            <w:vAlign w:val="center"/>
          </w:tcPr>
          <w:p>
            <w:pPr>
              <w:rPr>
                <w:rFonts w:hint="eastAsia" w:ascii="Times New Roman" w:hAnsi="Times New Roman" w:cs="Times New Roman" w:eastAsiaTheme="minorEastAsia"/>
                <w:kern w:val="0"/>
                <w:sz w:val="22"/>
                <w:lang w:eastAsia="zh-CN"/>
              </w:rPr>
            </w:pPr>
            <w:r>
              <w:rPr>
                <w:rFonts w:hint="eastAsia" w:ascii="Times New Roman" w:hAnsi="Times New Roman" w:cs="Times New Roman"/>
                <w:kern w:val="0"/>
                <w:sz w:val="22"/>
                <w:lang w:eastAsia="zh-CN"/>
              </w:rPr>
              <w:t>计算机视觉人工智能解决方案</w:t>
            </w:r>
          </w:p>
        </w:tc>
        <w:tc>
          <w:tcPr>
            <w:tcW w:w="195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人工智能</w:t>
            </w:r>
          </w:p>
        </w:tc>
        <w:tc>
          <w:tcPr>
            <w:tcW w:w="5774" w:type="dxa"/>
            <w:vAlign w:val="center"/>
          </w:tcPr>
          <w:p>
            <w:pPr>
              <w:jc w:val="left"/>
              <w:rPr>
                <w:rFonts w:hint="eastAsia"/>
                <w:lang w:val="en-US" w:eastAsia="zh-CN"/>
              </w:rPr>
            </w:pPr>
            <w:r>
              <w:rPr>
                <w:rFonts w:hint="eastAsia"/>
                <w:lang w:val="en-US" w:eastAsia="zh-CN"/>
              </w:rPr>
              <w:t>Eyesight针对汽车驾驶室市场的解决方案使用计算机视觉和AI来增强驾驶员和乘客的安全性和驾驶体验。</w:t>
            </w:r>
          </w:p>
          <w:p>
            <w:pPr>
              <w:jc w:val="left"/>
              <w:rPr>
                <w:rFonts w:hint="eastAsia"/>
                <w:lang w:val="en-US" w:eastAsia="zh-CN"/>
              </w:rPr>
            </w:pPr>
            <w:r>
              <w:rPr>
                <w:rFonts w:hint="eastAsia"/>
                <w:lang w:val="en-US" w:eastAsia="zh-CN"/>
              </w:rPr>
              <w:t>Eyesight的解决方案包括：</w:t>
            </w:r>
          </w:p>
          <w:p>
            <w:pPr>
              <w:jc w:val="left"/>
              <w:rPr>
                <w:rFonts w:hint="eastAsia"/>
                <w:lang w:val="en-US" w:eastAsia="zh-CN"/>
              </w:rPr>
            </w:pPr>
            <w:r>
              <w:rPr>
                <w:rFonts w:hint="eastAsia"/>
                <w:lang w:val="en-US" w:eastAsia="zh-CN"/>
              </w:rPr>
              <w:t>DriverSense  - 驾驶员监控系统，可跟踪驾驶员实时状态。</w:t>
            </w:r>
          </w:p>
          <w:p>
            <w:pPr>
              <w:jc w:val="left"/>
              <w:rPr>
                <w:rFonts w:hint="eastAsia"/>
                <w:lang w:val="en-US" w:eastAsia="zh-CN"/>
              </w:rPr>
            </w:pPr>
            <w:r>
              <w:rPr>
                <w:rFonts w:hint="eastAsia"/>
                <w:lang w:val="en-US" w:eastAsia="zh-CN"/>
              </w:rPr>
              <w:t>CabinSense  - 室内监控系统，可跟踪整个驾驶室内环境。</w:t>
            </w:r>
          </w:p>
          <w:p>
            <w:pPr>
              <w:jc w:val="left"/>
              <w:rPr>
                <w:rFonts w:hint="eastAsia"/>
                <w:lang w:val="en-US" w:eastAsia="zh-CN"/>
              </w:rPr>
            </w:pPr>
            <w:r>
              <w:rPr>
                <w:rFonts w:hint="eastAsia"/>
                <w:lang w:val="en-US" w:eastAsia="zh-CN"/>
              </w:rPr>
              <w:t>Eyesight的计算机视觉技术基于十多年的研究和开发，近30项注册专利和更多待批专利。视力不断突破智能传感解决方案可以看到和实现的界限 - 使驾驶更加便利安全。</w:t>
            </w:r>
          </w:p>
          <w:p>
            <w:pPr>
              <w:jc w:val="left"/>
              <w:rPr>
                <w:rFonts w:hint="eastAsia"/>
                <w:lang w:val="en-US" w:eastAsia="zh-CN"/>
              </w:rPr>
            </w:pPr>
            <w:r>
              <w:rPr>
                <w:rFonts w:hint="eastAsia"/>
                <w:lang w:val="en-US" w:eastAsia="zh-CN"/>
              </w:rPr>
              <w:t>FleetSense  -车队监控系统，专为车队和远程信息处理解决方案提供商设计的售后市场整合一体化软件。</w:t>
            </w:r>
          </w:p>
          <w:p>
            <w:pPr>
              <w:jc w:val="left"/>
              <w:rPr>
                <w:rFonts w:hint="eastAsia"/>
                <w:lang w:val="en-US" w:eastAsia="zh-CN"/>
              </w:rPr>
            </w:pPr>
            <w:r>
              <w:rPr>
                <w:rFonts w:hint="eastAsia"/>
                <w:lang w:val="en-US" w:eastAsia="zh-CN"/>
              </w:rPr>
              <w:t>Eyesight的技术使我们的客户能够优化驾驶员和乘客的安全系统，并根据乘客个性化调整驾驶室内环境。</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kern w:val="0"/>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A-04</w:t>
            </w:r>
          </w:p>
        </w:tc>
        <w:tc>
          <w:tcPr>
            <w:tcW w:w="1665" w:type="dxa"/>
            <w:vAlign w:val="center"/>
          </w:tcPr>
          <w:p>
            <w:pPr>
              <w:jc w:val="center"/>
              <w:rPr>
                <w:rFonts w:hint="eastAsia"/>
                <w:kern w:val="0"/>
                <w:sz w:val="22"/>
              </w:rPr>
            </w:pPr>
            <w:r>
              <w:rPr>
                <w:rFonts w:hint="eastAsia"/>
                <w:kern w:val="0"/>
                <w:sz w:val="22"/>
              </w:rPr>
              <w:t>mediTective</w:t>
            </w:r>
          </w:p>
        </w:tc>
        <w:tc>
          <w:tcPr>
            <w:tcW w:w="1518" w:type="dxa"/>
            <w:vAlign w:val="center"/>
          </w:tcPr>
          <w:p>
            <w:pPr>
              <w:jc w:val="center"/>
              <w:rPr>
                <w:rFonts w:hint="eastAsia"/>
                <w:lang w:val="en-US" w:eastAsia="zh-CN"/>
              </w:rPr>
            </w:pPr>
            <w:r>
              <w:rPr>
                <w:rFonts w:hint="eastAsia"/>
                <w:lang w:val="en-US" w:eastAsia="zh-CN"/>
              </w:rPr>
              <w:t>癌症诊断支持软件</w:t>
            </w:r>
          </w:p>
        </w:tc>
        <w:tc>
          <w:tcPr>
            <w:tcW w:w="195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人工智能</w:t>
            </w:r>
          </w:p>
        </w:tc>
        <w:tc>
          <w:tcPr>
            <w:tcW w:w="5774" w:type="dxa"/>
            <w:vAlign w:val="center"/>
          </w:tcPr>
          <w:p>
            <w:pPr>
              <w:jc w:val="left"/>
              <w:rPr>
                <w:rFonts w:hint="eastAsia"/>
                <w:lang w:val="en-US" w:eastAsia="zh-CN"/>
              </w:rPr>
            </w:pPr>
            <w:r>
              <w:rPr>
                <w:rFonts w:hint="eastAsia"/>
                <w:lang w:val="en-US" w:eastAsia="zh-CN"/>
              </w:rPr>
              <w:t>mediTective是一家专注于为数字健康领域开发解决方案的公司，它结合了三种技术：图像分析，深度学习和人工智能。</w:t>
            </w:r>
          </w:p>
          <w:p>
            <w:pPr>
              <w:jc w:val="left"/>
              <w:rPr>
                <w:rFonts w:hint="eastAsia"/>
                <w:lang w:val="en-US" w:eastAsia="zh-CN"/>
              </w:rPr>
            </w:pPr>
            <w:r>
              <w:rPr>
                <w:rFonts w:hint="eastAsia"/>
                <w:lang w:val="en-US" w:eastAsia="zh-CN"/>
              </w:rPr>
              <w:t>我们的旗舰产品“Sherlock”旨在降低息肉误检率，并提高常规结肠镜检查过程中发生的腺瘤检出率。这个领域多年来一直是医学界关注的焦点，特别是随着人工智能成为家喻户晓的名字。</w:t>
            </w:r>
          </w:p>
        </w:tc>
        <w:tc>
          <w:tcPr>
            <w:tcW w:w="3193" w:type="dxa"/>
            <w:vAlign w:val="center"/>
          </w:tcPr>
          <w:p>
            <w:pPr>
              <w:jc w:val="left"/>
              <w:rPr>
                <w:rFonts w:hint="default" w:ascii="Times New Roman" w:hAnsi="Times New Roman" w:cs="Times New Roman"/>
                <w:kern w:val="0"/>
                <w:sz w:val="22"/>
                <w:lang w:val="en-US" w:eastAsia="zh-CN"/>
              </w:rPr>
            </w:pPr>
            <w:r>
              <w:rPr>
                <w:rFonts w:hint="eastAsia" w:ascii="Times New Roman" w:hAnsi="Times New Roman" w:cs="Times New Roman"/>
                <w:kern w:val="0"/>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A-05</w:t>
            </w:r>
          </w:p>
        </w:tc>
        <w:tc>
          <w:tcPr>
            <w:tcW w:w="1665" w:type="dxa"/>
            <w:vAlign w:val="center"/>
          </w:tcPr>
          <w:p>
            <w:pPr>
              <w:jc w:val="center"/>
              <w:rPr>
                <w:rFonts w:hint="eastAsia"/>
                <w:kern w:val="0"/>
                <w:sz w:val="22"/>
              </w:rPr>
            </w:pPr>
            <w:r>
              <w:rPr>
                <w:rFonts w:hint="eastAsia"/>
                <w:kern w:val="0"/>
                <w:sz w:val="22"/>
              </w:rPr>
              <w:t>RobotAI</w:t>
            </w:r>
          </w:p>
        </w:tc>
        <w:tc>
          <w:tcPr>
            <w:tcW w:w="1518" w:type="dxa"/>
            <w:vAlign w:val="center"/>
          </w:tcPr>
          <w:p>
            <w:pPr>
              <w:jc w:val="center"/>
              <w:rPr>
                <w:rFonts w:hint="eastAsia"/>
                <w:lang w:val="en-US" w:eastAsia="zh-CN"/>
              </w:rPr>
            </w:pPr>
            <w:r>
              <w:rPr>
                <w:rFonts w:hint="eastAsia"/>
                <w:lang w:val="en-US" w:eastAsia="zh-CN"/>
              </w:rPr>
              <w:t>智能机器人</w:t>
            </w:r>
          </w:p>
        </w:tc>
        <w:tc>
          <w:tcPr>
            <w:tcW w:w="195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人工智能</w:t>
            </w:r>
          </w:p>
        </w:tc>
        <w:tc>
          <w:tcPr>
            <w:tcW w:w="5774" w:type="dxa"/>
            <w:vAlign w:val="center"/>
          </w:tcPr>
          <w:p>
            <w:pPr>
              <w:jc w:val="left"/>
              <w:rPr>
                <w:rFonts w:hint="eastAsia"/>
                <w:lang w:val="en-US" w:eastAsia="zh-CN"/>
              </w:rPr>
            </w:pPr>
            <w:r>
              <w:rPr>
                <w:rFonts w:hint="eastAsia"/>
                <w:lang w:val="en-US" w:eastAsia="zh-CN"/>
              </w:rPr>
              <w:t>RobotAI使机器人变得聪明。 它为工业和制造业的机器人视觉系统提供独特的解决方案。 RobotAI为物体拾取和抓取，箱子拾取，室内导航，AR / VR等问题开发解决方案</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kern w:val="0"/>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A-06</w:t>
            </w:r>
          </w:p>
        </w:tc>
        <w:tc>
          <w:tcPr>
            <w:tcW w:w="1665" w:type="dxa"/>
            <w:vAlign w:val="center"/>
          </w:tcPr>
          <w:p>
            <w:pPr>
              <w:jc w:val="center"/>
              <w:rPr>
                <w:rFonts w:hint="eastAsia"/>
              </w:rPr>
            </w:pPr>
            <w:bookmarkStart w:id="0" w:name="OLE_LINK1"/>
            <w:r>
              <w:rPr>
                <w:rFonts w:hint="eastAsia"/>
              </w:rPr>
              <w:t>Pzartech</w:t>
            </w:r>
            <w:bookmarkEnd w:id="0"/>
          </w:p>
        </w:tc>
        <w:tc>
          <w:tcPr>
            <w:tcW w:w="1518" w:type="dxa"/>
            <w:vAlign w:val="center"/>
          </w:tcPr>
          <w:p>
            <w:pPr>
              <w:jc w:val="center"/>
              <w:rPr>
                <w:rFonts w:hint="eastAsia" w:ascii="Times New Roman" w:hAnsi="Times New Roman" w:cs="Times New Roman"/>
                <w:sz w:val="22"/>
                <w:lang w:eastAsia="zh-CN"/>
              </w:rPr>
            </w:pPr>
            <w:r>
              <w:rPr>
                <w:rFonts w:hint="eastAsia"/>
                <w:lang w:val="en-US" w:eastAsia="zh-CN"/>
              </w:rPr>
              <w:t>生产零件设备识别解决方案</w:t>
            </w:r>
          </w:p>
        </w:tc>
        <w:tc>
          <w:tcPr>
            <w:tcW w:w="195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人工智能</w:t>
            </w:r>
          </w:p>
        </w:tc>
        <w:tc>
          <w:tcPr>
            <w:tcW w:w="5774" w:type="dxa"/>
            <w:vAlign w:val="center"/>
          </w:tcPr>
          <w:p>
            <w:pPr>
              <w:jc w:val="left"/>
              <w:rPr>
                <w:rFonts w:hint="eastAsia"/>
                <w:lang w:val="en-US" w:eastAsia="zh-CN"/>
              </w:rPr>
            </w:pPr>
            <w:r>
              <w:rPr>
                <w:rFonts w:hint="eastAsia"/>
                <w:lang w:val="en-US" w:eastAsia="zh-CN"/>
              </w:rPr>
              <w:t xml:space="preserve">利用图像处理和深度学习技术，Pzartech开发了支持机械系统生产维护（MRO）与机械系统生产操作员的解决方案，包括常规智能手机和平板电脑。市场机会 - </w:t>
            </w:r>
          </w:p>
          <w:p>
            <w:pPr>
              <w:jc w:val="left"/>
              <w:rPr>
                <w:rFonts w:hint="eastAsia"/>
                <w:lang w:val="en-US" w:eastAsia="zh-CN"/>
              </w:rPr>
            </w:pPr>
            <w:r>
              <w:rPr>
                <w:rFonts w:hint="eastAsia"/>
                <w:lang w:val="en-US" w:eastAsia="zh-CN"/>
              </w:rPr>
              <w:t>零部件编码（PN）和产品序列号（SN）在复杂的机械系统生产维护（MRO）过程中的显示与识别会产生大量的时间损失。</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7" w:hRule="atLeast"/>
          <w:jc w:val="center"/>
        </w:trPr>
        <w:tc>
          <w:tcPr>
            <w:tcW w:w="848" w:type="dxa"/>
            <w:shd w:val="clear" w:color="auto" w:fill="auto"/>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A-07</w:t>
            </w:r>
          </w:p>
        </w:tc>
        <w:tc>
          <w:tcPr>
            <w:tcW w:w="1665" w:type="dxa"/>
            <w:shd w:val="clear" w:color="auto" w:fill="auto"/>
            <w:vAlign w:val="center"/>
          </w:tcPr>
          <w:p>
            <w:pPr>
              <w:jc w:val="center"/>
              <w:rPr>
                <w:rFonts w:hint="eastAsia"/>
                <w:kern w:val="0"/>
                <w:sz w:val="22"/>
              </w:rPr>
            </w:pPr>
            <w:r>
              <w:rPr>
                <w:rFonts w:hint="eastAsia"/>
                <w:kern w:val="0"/>
                <w:sz w:val="22"/>
              </w:rPr>
              <w:t>BeaconCure</w:t>
            </w:r>
          </w:p>
        </w:tc>
        <w:tc>
          <w:tcPr>
            <w:tcW w:w="1518" w:type="dxa"/>
            <w:shd w:val="clear" w:color="auto" w:fill="auto"/>
            <w:vAlign w:val="center"/>
          </w:tcPr>
          <w:p>
            <w:pPr>
              <w:jc w:val="center"/>
              <w:rPr>
                <w:rFonts w:hint="eastAsia"/>
                <w:lang w:val="en-US" w:eastAsia="zh-CN"/>
              </w:rPr>
            </w:pPr>
            <w:r>
              <w:rPr>
                <w:rFonts w:hint="eastAsia"/>
                <w:lang w:val="en-US" w:eastAsia="zh-CN"/>
              </w:rPr>
              <w:t>智能数据验证技术</w:t>
            </w:r>
          </w:p>
        </w:tc>
        <w:tc>
          <w:tcPr>
            <w:tcW w:w="1952" w:type="dxa"/>
            <w:shd w:val="clear" w:color="auto" w:fill="auto"/>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人工智能</w:t>
            </w:r>
          </w:p>
        </w:tc>
        <w:tc>
          <w:tcPr>
            <w:tcW w:w="5774" w:type="dxa"/>
            <w:shd w:val="clear" w:color="auto" w:fill="auto"/>
            <w:vAlign w:val="center"/>
          </w:tcPr>
          <w:p>
            <w:pPr>
              <w:jc w:val="left"/>
              <w:rPr>
                <w:rFonts w:hint="eastAsia"/>
                <w:lang w:val="en-US" w:eastAsia="zh-CN"/>
              </w:rPr>
            </w:pPr>
            <w:r>
              <w:rPr>
                <w:rFonts w:hint="eastAsia"/>
                <w:lang w:val="en-US" w:eastAsia="zh-CN"/>
              </w:rPr>
              <w:t>BeaconCure使用其正在申请专利的Text Analytics技术加速监管审批。</w:t>
            </w:r>
          </w:p>
          <w:p>
            <w:pPr>
              <w:jc w:val="left"/>
              <w:rPr>
                <w:rFonts w:hint="eastAsia"/>
                <w:lang w:val="en-US" w:eastAsia="zh-CN"/>
              </w:rPr>
            </w:pPr>
            <w:r>
              <w:rPr>
                <w:rFonts w:hint="eastAsia"/>
                <w:lang w:val="en-US" w:eastAsia="zh-CN"/>
              </w:rPr>
              <w:t>由辉瑞制药公司作为设计合作伙伴开发的技术有史以来第一次用制药和医疗设备行业的大型软件替代人工质量检验。</w:t>
            </w:r>
          </w:p>
          <w:p>
            <w:pPr>
              <w:jc w:val="left"/>
              <w:rPr>
                <w:rFonts w:hint="eastAsia"/>
                <w:lang w:val="en-US" w:eastAsia="zh-CN"/>
              </w:rPr>
            </w:pPr>
            <w:r>
              <w:rPr>
                <w:rFonts w:hint="eastAsia"/>
                <w:lang w:val="en-US" w:eastAsia="zh-CN"/>
              </w:rPr>
              <w:t>该解决方案可以产生更快的结果，促进成本节约，允许早期收入，在同一专利（IP）下销售更长时间，打败竞争等等。</w:t>
            </w:r>
          </w:p>
          <w:p>
            <w:pPr>
              <w:jc w:val="left"/>
              <w:rPr>
                <w:rFonts w:hint="eastAsia"/>
                <w:lang w:val="en-US" w:eastAsia="zh-CN"/>
              </w:rPr>
            </w:pPr>
            <w:r>
              <w:rPr>
                <w:rFonts w:hint="eastAsia"/>
                <w:lang w:val="en-US" w:eastAsia="zh-CN"/>
              </w:rPr>
              <w:t>BeaconCure由数据科学和自然语言领域专家，制药专家，MBA和博士组成的团队于2016年成立。</w:t>
            </w:r>
          </w:p>
          <w:p>
            <w:pPr>
              <w:jc w:val="left"/>
              <w:rPr>
                <w:rFonts w:hint="eastAsia"/>
                <w:lang w:val="en-US" w:eastAsia="zh-CN"/>
              </w:rPr>
            </w:pPr>
            <w:r>
              <w:rPr>
                <w:rFonts w:hint="eastAsia"/>
                <w:lang w:val="en-US" w:eastAsia="zh-CN"/>
              </w:rPr>
              <w:t>升级版目前正在生产中，并由辉瑞的各个团队使用。 美国，欧盟和日本正在与十大制药和医药研发合同外包跨国公司进行商业讨论，以使用该技术。</w:t>
            </w:r>
          </w:p>
        </w:tc>
        <w:tc>
          <w:tcPr>
            <w:tcW w:w="3193" w:type="dxa"/>
            <w:shd w:val="clear" w:color="auto" w:fill="auto"/>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kern w:val="0"/>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7" w:hRule="atLeast"/>
          <w:jc w:val="center"/>
        </w:trPr>
        <w:tc>
          <w:tcPr>
            <w:tcW w:w="14950" w:type="dxa"/>
            <w:gridSpan w:val="6"/>
            <w:shd w:val="clear" w:color="auto" w:fill="B8CCE4" w:themeFill="accent1" w:themeFillTint="66"/>
            <w:vAlign w:val="center"/>
          </w:tcPr>
          <w:p>
            <w:pPr>
              <w:jc w:val="center"/>
              <w:rPr>
                <w:rFonts w:hint="eastAsia"/>
                <w:b/>
                <w:lang w:eastAsia="zh-CN"/>
              </w:rPr>
            </w:pPr>
            <w:r>
              <w:rPr>
                <w:rFonts w:hint="eastAsia"/>
                <w:b/>
                <w:lang w:eastAsia="zh-CN"/>
              </w:rPr>
              <w:t>生命科学</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7" w:hRule="atLeast"/>
          <w:jc w:val="center"/>
        </w:trPr>
        <w:tc>
          <w:tcPr>
            <w:tcW w:w="848" w:type="dxa"/>
            <w:shd w:val="clear" w:color="auto" w:fill="auto"/>
            <w:vAlign w:val="center"/>
          </w:tcPr>
          <w:p>
            <w:pPr>
              <w:jc w:val="center"/>
              <w:rPr>
                <w:rFonts w:hint="default" w:ascii="Times New Roman" w:hAnsi="Times New Roman" w:cs="Times New Roman"/>
                <w:b/>
                <w:sz w:val="22"/>
                <w:lang w:val="en-US" w:eastAsia="zh-CN"/>
              </w:rPr>
            </w:pPr>
            <w:r>
              <w:rPr>
                <w:rFonts w:hint="eastAsia" w:ascii="Times New Roman" w:hAnsi="Times New Roman" w:cs="Times New Roman"/>
                <w:b/>
                <w:sz w:val="22"/>
                <w:lang w:val="en-US" w:eastAsia="zh-CN"/>
              </w:rPr>
              <w:t>L-01</w:t>
            </w:r>
          </w:p>
        </w:tc>
        <w:tc>
          <w:tcPr>
            <w:tcW w:w="1665" w:type="dxa"/>
            <w:shd w:val="clear" w:color="auto" w:fill="auto"/>
            <w:vAlign w:val="center"/>
          </w:tcPr>
          <w:p>
            <w:pPr>
              <w:jc w:val="center"/>
              <w:rPr>
                <w:rFonts w:hint="eastAsia"/>
                <w:kern w:val="0"/>
                <w:sz w:val="22"/>
              </w:rPr>
            </w:pPr>
            <w:r>
              <w:rPr>
                <w:rFonts w:hint="eastAsia"/>
                <w:kern w:val="0"/>
                <w:sz w:val="22"/>
              </w:rPr>
              <w:t>Betalin Therapeutics</w:t>
            </w:r>
          </w:p>
        </w:tc>
        <w:tc>
          <w:tcPr>
            <w:tcW w:w="1518" w:type="dxa"/>
            <w:shd w:val="clear" w:color="auto" w:fill="auto"/>
            <w:vAlign w:val="center"/>
          </w:tcPr>
          <w:p>
            <w:pPr>
              <w:jc w:val="center"/>
              <w:rPr>
                <w:rFonts w:hint="eastAsia"/>
                <w:lang w:val="en-US" w:eastAsia="zh-CN"/>
              </w:rPr>
            </w:pPr>
            <w:r>
              <w:rPr>
                <w:rFonts w:hint="eastAsia"/>
                <w:lang w:val="en-US" w:eastAsia="zh-CN"/>
              </w:rPr>
              <w:t>生物科技糖尿病治疗解决方案</w:t>
            </w:r>
          </w:p>
        </w:tc>
        <w:tc>
          <w:tcPr>
            <w:tcW w:w="1952" w:type="dxa"/>
            <w:shd w:val="clear" w:color="auto" w:fill="auto"/>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774" w:type="dxa"/>
            <w:shd w:val="clear" w:color="auto" w:fill="auto"/>
            <w:vAlign w:val="center"/>
          </w:tcPr>
          <w:p>
            <w:pPr>
              <w:jc w:val="left"/>
              <w:rPr>
                <w:rFonts w:hint="eastAsia"/>
                <w:lang w:val="en-US" w:eastAsia="zh-CN"/>
              </w:rPr>
            </w:pPr>
            <w:r>
              <w:rPr>
                <w:rFonts w:hint="eastAsia"/>
                <w:lang w:val="en-US" w:eastAsia="zh-CN"/>
              </w:rPr>
              <w:t>Betalin Therapeutics正在开发一种用于糖尿病治疗的新疗法。这项突破性技术旨在为全球数百万患者取代胰岛素治疗。通过我们的工程微胰腺（EMP），我们将改善数百万糖尿病患者的生活质量。</w:t>
            </w:r>
          </w:p>
        </w:tc>
        <w:tc>
          <w:tcPr>
            <w:tcW w:w="3193" w:type="dxa"/>
            <w:shd w:val="clear" w:color="auto" w:fill="auto"/>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7" w:hRule="atLeast"/>
          <w:jc w:val="center"/>
        </w:trPr>
        <w:tc>
          <w:tcPr>
            <w:tcW w:w="848" w:type="dxa"/>
            <w:shd w:val="clear" w:color="auto" w:fill="auto"/>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L-02</w:t>
            </w:r>
          </w:p>
        </w:tc>
        <w:tc>
          <w:tcPr>
            <w:tcW w:w="1665" w:type="dxa"/>
            <w:shd w:val="clear" w:color="auto" w:fill="auto"/>
            <w:vAlign w:val="center"/>
          </w:tcPr>
          <w:p>
            <w:pPr>
              <w:jc w:val="center"/>
              <w:rPr>
                <w:rFonts w:hint="eastAsia"/>
                <w:kern w:val="0"/>
                <w:sz w:val="22"/>
              </w:rPr>
            </w:pPr>
            <w:bookmarkStart w:id="1" w:name="OLE_LINK2"/>
            <w:r>
              <w:rPr>
                <w:rFonts w:hint="eastAsia"/>
                <w:kern w:val="0"/>
                <w:sz w:val="22"/>
              </w:rPr>
              <w:t>Leviticus Cardio</w:t>
            </w:r>
            <w:bookmarkEnd w:id="1"/>
          </w:p>
        </w:tc>
        <w:tc>
          <w:tcPr>
            <w:tcW w:w="1518" w:type="dxa"/>
            <w:shd w:val="clear" w:color="auto" w:fill="auto"/>
            <w:vAlign w:val="center"/>
          </w:tcPr>
          <w:p>
            <w:pPr>
              <w:jc w:val="center"/>
              <w:rPr>
                <w:rFonts w:hint="eastAsia"/>
                <w:lang w:val="en-US" w:eastAsia="zh-CN"/>
              </w:rPr>
            </w:pPr>
            <w:r>
              <w:rPr>
                <w:rFonts w:hint="eastAsia"/>
                <w:lang w:val="en-US" w:eastAsia="zh-CN"/>
              </w:rPr>
              <w:t>心脏起搏器无线供电系统</w:t>
            </w:r>
          </w:p>
        </w:tc>
        <w:tc>
          <w:tcPr>
            <w:tcW w:w="1952" w:type="dxa"/>
            <w:shd w:val="clear" w:color="auto" w:fill="auto"/>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774" w:type="dxa"/>
            <w:shd w:val="clear" w:color="auto" w:fill="auto"/>
            <w:vAlign w:val="center"/>
          </w:tcPr>
          <w:p>
            <w:pPr>
              <w:jc w:val="left"/>
              <w:rPr>
                <w:rFonts w:hint="eastAsia"/>
                <w:lang w:val="en-US" w:eastAsia="zh-CN"/>
              </w:rPr>
            </w:pPr>
            <w:r>
              <w:rPr>
                <w:rFonts w:hint="eastAsia"/>
                <w:lang w:val="en-US" w:eastAsia="zh-CN"/>
              </w:rPr>
              <w:t>Leviticus为LVADs（左心室辅助装置）患者开发了一种彻底的技术，消除了现有VAD（心室辅助装置）系统中传动系统引起的问题。</w:t>
            </w:r>
          </w:p>
          <w:p>
            <w:pPr>
              <w:jc w:val="left"/>
              <w:rPr>
                <w:rFonts w:hint="eastAsia"/>
                <w:lang w:val="en-US" w:eastAsia="zh-CN"/>
              </w:rPr>
            </w:pPr>
            <w:r>
              <w:rPr>
                <w:rFonts w:hint="eastAsia"/>
                <w:lang w:val="en-US" w:eastAsia="zh-CN"/>
              </w:rPr>
              <w:t>Leviticus Cardio的无线功率传输技术与任何现有的VAD系统相结合，为CHF患者提供了一种全新，强大，全面的混合解决方案。FiVAD使用外部皮带和内置电池进行无线充电，内置电池已证明充电时间为6至8小时。</w:t>
            </w:r>
          </w:p>
        </w:tc>
        <w:tc>
          <w:tcPr>
            <w:tcW w:w="3193" w:type="dxa"/>
            <w:shd w:val="clear" w:color="auto" w:fill="auto"/>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7" w:hRule="atLeast"/>
          <w:jc w:val="center"/>
        </w:trPr>
        <w:tc>
          <w:tcPr>
            <w:tcW w:w="848" w:type="dxa"/>
            <w:shd w:val="clear" w:color="auto" w:fill="auto"/>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L-03</w:t>
            </w:r>
          </w:p>
        </w:tc>
        <w:tc>
          <w:tcPr>
            <w:tcW w:w="1665" w:type="dxa"/>
            <w:shd w:val="clear" w:color="auto" w:fill="auto"/>
            <w:vAlign w:val="center"/>
          </w:tcPr>
          <w:p>
            <w:pPr>
              <w:jc w:val="center"/>
              <w:rPr>
                <w:rFonts w:hint="eastAsia"/>
                <w:kern w:val="0"/>
                <w:sz w:val="22"/>
              </w:rPr>
            </w:pPr>
            <w:r>
              <w:rPr>
                <w:rFonts w:hint="eastAsia"/>
                <w:kern w:val="0"/>
                <w:sz w:val="22"/>
              </w:rPr>
              <w:t>EndoGI Medical LTD</w:t>
            </w:r>
          </w:p>
        </w:tc>
        <w:tc>
          <w:tcPr>
            <w:tcW w:w="1518" w:type="dxa"/>
            <w:shd w:val="clear" w:color="auto" w:fill="auto"/>
            <w:vAlign w:val="center"/>
          </w:tcPr>
          <w:p>
            <w:pPr>
              <w:jc w:val="center"/>
              <w:rPr>
                <w:rFonts w:hint="eastAsia"/>
                <w:lang w:val="en-US" w:eastAsia="zh-CN"/>
              </w:rPr>
            </w:pPr>
            <w:r>
              <w:rPr>
                <w:rFonts w:hint="eastAsia"/>
                <w:lang w:val="en-US" w:eastAsia="zh-CN"/>
              </w:rPr>
              <w:t>用于治疗胆道和胰管狭窄的多支架放置输送系统</w:t>
            </w:r>
          </w:p>
        </w:tc>
        <w:tc>
          <w:tcPr>
            <w:tcW w:w="1952" w:type="dxa"/>
            <w:shd w:val="clear" w:color="auto" w:fill="auto"/>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774" w:type="dxa"/>
            <w:shd w:val="clear" w:color="auto" w:fill="auto"/>
            <w:vAlign w:val="center"/>
          </w:tcPr>
          <w:p>
            <w:pPr>
              <w:jc w:val="left"/>
              <w:rPr>
                <w:rFonts w:hint="eastAsia"/>
                <w:lang w:val="en-US" w:eastAsia="zh-CN"/>
              </w:rPr>
            </w:pPr>
            <w:r>
              <w:rPr>
                <w:rFonts w:hint="eastAsia"/>
                <w:lang w:val="en-US" w:eastAsia="zh-CN"/>
              </w:rPr>
              <w:t>EndoGI系统是一家私人的以色列公司，由NGT3VC提供支持。 EndoGI系统能够在输送系统的一个通道中插入和放置两个或更多个塑料支架或者在胆总管和肝管中以及输尿管中，同时固定和保持导丝在目标解剖部位处的进入。</w:t>
            </w:r>
          </w:p>
        </w:tc>
        <w:tc>
          <w:tcPr>
            <w:tcW w:w="3193" w:type="dxa"/>
            <w:shd w:val="clear" w:color="auto" w:fill="auto"/>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7" w:hRule="atLeast"/>
          <w:jc w:val="center"/>
        </w:trPr>
        <w:tc>
          <w:tcPr>
            <w:tcW w:w="848" w:type="dxa"/>
            <w:shd w:val="clear" w:color="auto" w:fill="auto"/>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L-04</w:t>
            </w:r>
          </w:p>
        </w:tc>
        <w:tc>
          <w:tcPr>
            <w:tcW w:w="1665" w:type="dxa"/>
            <w:shd w:val="clear" w:color="auto" w:fill="auto"/>
            <w:vAlign w:val="center"/>
          </w:tcPr>
          <w:p>
            <w:pPr>
              <w:jc w:val="center"/>
              <w:rPr>
                <w:rFonts w:hint="eastAsia"/>
                <w:kern w:val="0"/>
                <w:sz w:val="22"/>
              </w:rPr>
            </w:pPr>
            <w:bookmarkStart w:id="2" w:name="OLE_LINK3"/>
            <w:r>
              <w:rPr>
                <w:rFonts w:hint="eastAsia"/>
                <w:kern w:val="0"/>
                <w:sz w:val="22"/>
              </w:rPr>
              <w:t>NANOSONO</w:t>
            </w:r>
            <w:bookmarkEnd w:id="2"/>
          </w:p>
        </w:tc>
        <w:tc>
          <w:tcPr>
            <w:tcW w:w="1518" w:type="dxa"/>
            <w:shd w:val="clear" w:color="auto" w:fill="auto"/>
            <w:vAlign w:val="center"/>
          </w:tcPr>
          <w:p>
            <w:pPr>
              <w:jc w:val="center"/>
              <w:rPr>
                <w:rFonts w:hint="eastAsia"/>
                <w:lang w:val="en-US" w:eastAsia="zh-CN"/>
              </w:rPr>
            </w:pPr>
            <w:r>
              <w:rPr>
                <w:rFonts w:hint="eastAsia"/>
                <w:lang w:val="en-US" w:eastAsia="zh-CN"/>
              </w:rPr>
              <w:t>纳米杀菌和感染防控技术</w:t>
            </w:r>
          </w:p>
        </w:tc>
        <w:tc>
          <w:tcPr>
            <w:tcW w:w="1952" w:type="dxa"/>
            <w:shd w:val="clear" w:color="auto" w:fill="auto"/>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774" w:type="dxa"/>
            <w:shd w:val="clear" w:color="auto" w:fill="auto"/>
            <w:vAlign w:val="center"/>
          </w:tcPr>
          <w:p>
            <w:pPr>
              <w:jc w:val="left"/>
              <w:rPr>
                <w:rFonts w:hint="eastAsia"/>
                <w:lang w:val="en-US" w:eastAsia="zh-CN"/>
              </w:rPr>
            </w:pPr>
            <w:r>
              <w:rPr>
                <w:rFonts w:hint="eastAsia"/>
                <w:lang w:val="en-US" w:eastAsia="zh-CN"/>
              </w:rPr>
              <w:t>NanoSono是一家私营的纳米技术公司，成立于2015年。该公司开发了先进的技术，可提供几乎任何表面长期杀菌和抗生物膜特性。该公司专注于工业和医疗保健市场的感染控制，通过其独特的纳米技术提供具有成本效益的抗菌织物，油漆和其他表面，从而提供比抗生素更有效的抑制细菌的解决方案。该公司拥有从研发到制造的全部能力。其技术受到IP产品组合的保护。迄今为止，该公司已与行业合作伙伴建立了初步合作关系，以便将其首批产品推向市场。</w:t>
            </w:r>
          </w:p>
        </w:tc>
        <w:tc>
          <w:tcPr>
            <w:tcW w:w="3193" w:type="dxa"/>
            <w:shd w:val="clear" w:color="auto" w:fill="auto"/>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7" w:hRule="atLeast"/>
          <w:jc w:val="center"/>
        </w:trPr>
        <w:tc>
          <w:tcPr>
            <w:tcW w:w="848" w:type="dxa"/>
            <w:shd w:val="clear" w:color="auto" w:fill="auto"/>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L-05</w:t>
            </w:r>
          </w:p>
        </w:tc>
        <w:tc>
          <w:tcPr>
            <w:tcW w:w="1665" w:type="dxa"/>
            <w:shd w:val="clear" w:color="auto" w:fill="auto"/>
            <w:vAlign w:val="center"/>
          </w:tcPr>
          <w:p>
            <w:pPr>
              <w:jc w:val="center"/>
              <w:rPr>
                <w:rFonts w:hint="eastAsia"/>
                <w:kern w:val="0"/>
                <w:sz w:val="22"/>
              </w:rPr>
            </w:pPr>
            <w:r>
              <w:rPr>
                <w:rFonts w:hint="eastAsia"/>
                <w:kern w:val="0"/>
                <w:sz w:val="22"/>
              </w:rPr>
              <w:t>Biobeat Technologies Ltd.</w:t>
            </w:r>
          </w:p>
        </w:tc>
        <w:tc>
          <w:tcPr>
            <w:tcW w:w="1518" w:type="dxa"/>
            <w:shd w:val="clear" w:color="auto" w:fill="auto"/>
            <w:vAlign w:val="center"/>
          </w:tcPr>
          <w:p>
            <w:pPr>
              <w:jc w:val="center"/>
              <w:rPr>
                <w:rFonts w:hint="eastAsia"/>
                <w:lang w:val="en-US" w:eastAsia="zh-CN"/>
              </w:rPr>
            </w:pPr>
            <w:r>
              <w:rPr>
                <w:rFonts w:hint="eastAsia"/>
                <w:lang w:val="en-US" w:eastAsia="zh-CN"/>
              </w:rPr>
              <w:t>智能检测技术</w:t>
            </w:r>
          </w:p>
        </w:tc>
        <w:tc>
          <w:tcPr>
            <w:tcW w:w="1952" w:type="dxa"/>
            <w:shd w:val="clear" w:color="auto" w:fill="auto"/>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774" w:type="dxa"/>
            <w:shd w:val="clear" w:color="auto" w:fill="auto"/>
            <w:vAlign w:val="center"/>
          </w:tcPr>
          <w:p>
            <w:pPr>
              <w:jc w:val="left"/>
              <w:rPr>
                <w:rFonts w:hint="eastAsia"/>
                <w:lang w:val="en-US" w:eastAsia="zh-CN"/>
              </w:rPr>
            </w:pPr>
            <w:r>
              <w:rPr>
                <w:rFonts w:hint="eastAsia"/>
                <w:lang w:val="en-US" w:eastAsia="zh-CN"/>
              </w:rPr>
              <w:t>Biobeat Technologies Ltd.是一家开发端到端医疗级监控系统的公司，用于远程管理患者和个人。我们系统的核心是一系列连续，无线，无创，准确用于测量和记录生命体征和其他生理相关参数的医疗级监测设备。我们的解决方案不仅包括最终用户智能手机应用程序（Android和iOS兼容），还包括多用户平台，用于并行监控多个患者（例如医院病房）和基于PC的系统，用于并行监测大量用户。我们目前提供两种配置：手表和贴片。腕表适用于慢性病患者，长期使用需要进行监测。该补丁用于短期护理，例如院后急症护理，以及某些院内患者。补丁是一次性使用设备，连续工作长达5天秒。</w:t>
            </w:r>
          </w:p>
        </w:tc>
        <w:tc>
          <w:tcPr>
            <w:tcW w:w="3193" w:type="dxa"/>
            <w:shd w:val="clear" w:color="auto" w:fill="auto"/>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7" w:hRule="atLeast"/>
          <w:jc w:val="center"/>
        </w:trPr>
        <w:tc>
          <w:tcPr>
            <w:tcW w:w="848" w:type="dxa"/>
            <w:shd w:val="clear" w:color="auto" w:fill="auto"/>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L-06</w:t>
            </w:r>
          </w:p>
        </w:tc>
        <w:tc>
          <w:tcPr>
            <w:tcW w:w="1665" w:type="dxa"/>
            <w:shd w:val="clear" w:color="auto" w:fill="auto"/>
            <w:vAlign w:val="center"/>
          </w:tcPr>
          <w:p>
            <w:pPr>
              <w:jc w:val="center"/>
              <w:rPr>
                <w:rFonts w:hint="eastAsia"/>
                <w:kern w:val="0"/>
                <w:sz w:val="22"/>
              </w:rPr>
            </w:pPr>
            <w:r>
              <w:rPr>
                <w:rFonts w:hint="eastAsia"/>
                <w:kern w:val="0"/>
                <w:sz w:val="22"/>
              </w:rPr>
              <w:t xml:space="preserve">Artack medical </w:t>
            </w:r>
          </w:p>
        </w:tc>
        <w:tc>
          <w:tcPr>
            <w:tcW w:w="1518" w:type="dxa"/>
            <w:shd w:val="clear" w:color="auto" w:fill="auto"/>
            <w:vAlign w:val="center"/>
          </w:tcPr>
          <w:p>
            <w:pPr>
              <w:jc w:val="center"/>
              <w:rPr>
                <w:rFonts w:hint="eastAsia"/>
                <w:lang w:val="en-US" w:eastAsia="zh-CN"/>
              </w:rPr>
            </w:pPr>
            <w:r>
              <w:rPr>
                <w:rFonts w:hint="eastAsia"/>
                <w:lang w:val="en-US" w:eastAsia="zh-CN"/>
              </w:rPr>
              <w:t>微创疝气手术技术</w:t>
            </w:r>
          </w:p>
        </w:tc>
        <w:tc>
          <w:tcPr>
            <w:tcW w:w="1952" w:type="dxa"/>
            <w:shd w:val="clear" w:color="auto" w:fill="auto"/>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774" w:type="dxa"/>
            <w:shd w:val="clear" w:color="auto" w:fill="auto"/>
            <w:vAlign w:val="center"/>
          </w:tcPr>
          <w:p>
            <w:pPr>
              <w:jc w:val="left"/>
              <w:rPr>
                <w:rFonts w:hint="eastAsia"/>
                <w:lang w:val="en-US" w:eastAsia="zh-CN"/>
              </w:rPr>
            </w:pPr>
            <w:r>
              <w:rPr>
                <w:rFonts w:hint="eastAsia"/>
                <w:lang w:val="en-US" w:eastAsia="zh-CN"/>
              </w:rPr>
              <w:t>机器人和微创疝气手术</w:t>
            </w:r>
          </w:p>
        </w:tc>
        <w:tc>
          <w:tcPr>
            <w:tcW w:w="3193" w:type="dxa"/>
            <w:shd w:val="clear" w:color="auto" w:fill="auto"/>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7" w:hRule="atLeast"/>
          <w:jc w:val="center"/>
        </w:trPr>
        <w:tc>
          <w:tcPr>
            <w:tcW w:w="848" w:type="dxa"/>
            <w:shd w:val="clear" w:color="auto" w:fill="auto"/>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L-07</w:t>
            </w:r>
          </w:p>
        </w:tc>
        <w:tc>
          <w:tcPr>
            <w:tcW w:w="1665" w:type="dxa"/>
            <w:shd w:val="clear" w:color="auto" w:fill="auto"/>
            <w:vAlign w:val="center"/>
          </w:tcPr>
          <w:p>
            <w:pPr>
              <w:jc w:val="center"/>
              <w:rPr>
                <w:rFonts w:hint="eastAsia"/>
                <w:kern w:val="0"/>
                <w:sz w:val="22"/>
              </w:rPr>
            </w:pPr>
            <w:r>
              <w:rPr>
                <w:rFonts w:hint="eastAsia"/>
                <w:kern w:val="0"/>
                <w:sz w:val="22"/>
              </w:rPr>
              <w:t>Carevature Medical Ltd.</w:t>
            </w:r>
          </w:p>
        </w:tc>
        <w:tc>
          <w:tcPr>
            <w:tcW w:w="1518" w:type="dxa"/>
            <w:shd w:val="clear" w:color="auto" w:fill="auto"/>
            <w:vAlign w:val="center"/>
          </w:tcPr>
          <w:p>
            <w:pPr>
              <w:jc w:val="center"/>
              <w:rPr>
                <w:rFonts w:hint="eastAsia"/>
                <w:lang w:val="en-US" w:eastAsia="zh-CN"/>
              </w:rPr>
            </w:pPr>
            <w:r>
              <w:rPr>
                <w:rFonts w:hint="eastAsia"/>
                <w:lang w:val="en-US" w:eastAsia="zh-CN"/>
              </w:rPr>
              <w:t>全脊柱减压技术</w:t>
            </w:r>
          </w:p>
        </w:tc>
        <w:tc>
          <w:tcPr>
            <w:tcW w:w="1952" w:type="dxa"/>
            <w:shd w:val="clear" w:color="auto" w:fill="auto"/>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774" w:type="dxa"/>
            <w:shd w:val="clear" w:color="auto" w:fill="auto"/>
            <w:vAlign w:val="center"/>
          </w:tcPr>
          <w:p>
            <w:pPr>
              <w:jc w:val="left"/>
              <w:rPr>
                <w:rFonts w:hint="eastAsia"/>
                <w:b w:val="0"/>
                <w:bCs w:val="0"/>
                <w:lang w:val="en-US" w:eastAsia="zh-CN"/>
              </w:rPr>
            </w:pPr>
            <w:r>
              <w:rPr>
                <w:rFonts w:hint="eastAsia"/>
                <w:b w:val="0"/>
                <w:bCs w:val="0"/>
                <w:lang w:val="en-US" w:eastAsia="zh-CN"/>
              </w:rPr>
              <w:t>Carevature开发，制造和销售一套独特的设备，使外科医生能够执行更安全，更省时和更节约成本的手术。目前的产品系列旨在脊柱外科手术，其中骨骼病变可以被精确定位和移除，同时保护周围的健康组织和脊柱稳定性不会受到损害。</w:t>
            </w:r>
          </w:p>
        </w:tc>
        <w:tc>
          <w:tcPr>
            <w:tcW w:w="3193" w:type="dxa"/>
            <w:shd w:val="clear" w:color="auto" w:fill="auto"/>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7" w:hRule="atLeast"/>
          <w:jc w:val="center"/>
        </w:trPr>
        <w:tc>
          <w:tcPr>
            <w:tcW w:w="848" w:type="dxa"/>
            <w:shd w:val="clear" w:color="auto" w:fill="auto"/>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L-08</w:t>
            </w:r>
          </w:p>
        </w:tc>
        <w:tc>
          <w:tcPr>
            <w:tcW w:w="1665" w:type="dxa"/>
            <w:shd w:val="clear" w:color="auto" w:fill="auto"/>
            <w:vAlign w:val="center"/>
          </w:tcPr>
          <w:p>
            <w:pPr>
              <w:jc w:val="center"/>
              <w:rPr>
                <w:rFonts w:hint="eastAsia"/>
                <w:kern w:val="0"/>
                <w:sz w:val="22"/>
              </w:rPr>
            </w:pPr>
            <w:r>
              <w:rPr>
                <w:rFonts w:hint="eastAsia"/>
                <w:kern w:val="0"/>
                <w:sz w:val="22"/>
              </w:rPr>
              <w:t>Beta-O2</w:t>
            </w:r>
          </w:p>
        </w:tc>
        <w:tc>
          <w:tcPr>
            <w:tcW w:w="1518" w:type="dxa"/>
            <w:shd w:val="clear" w:color="auto" w:fill="auto"/>
            <w:vAlign w:val="center"/>
          </w:tcPr>
          <w:p>
            <w:pPr>
              <w:jc w:val="center"/>
              <w:rPr>
                <w:rFonts w:hint="eastAsia"/>
                <w:lang w:val="en-US" w:eastAsia="zh-CN"/>
              </w:rPr>
            </w:pPr>
            <w:r>
              <w:rPr>
                <w:rFonts w:hint="eastAsia"/>
                <w:lang w:val="en-US" w:eastAsia="zh-CN"/>
              </w:rPr>
              <w:t>生物人工胰腺反应器</w:t>
            </w:r>
          </w:p>
        </w:tc>
        <w:tc>
          <w:tcPr>
            <w:tcW w:w="1952" w:type="dxa"/>
            <w:shd w:val="clear" w:color="auto" w:fill="auto"/>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774" w:type="dxa"/>
            <w:shd w:val="clear" w:color="auto" w:fill="auto"/>
            <w:vAlign w:val="center"/>
          </w:tcPr>
          <w:p>
            <w:pPr>
              <w:jc w:val="left"/>
              <w:rPr>
                <w:rFonts w:hint="eastAsia"/>
                <w:b w:val="0"/>
                <w:bCs w:val="0"/>
                <w:lang w:val="en-US" w:eastAsia="zh-CN"/>
              </w:rPr>
            </w:pPr>
            <w:r>
              <w:rPr>
                <w:rFonts w:hint="eastAsia"/>
                <w:b w:val="0"/>
                <w:bCs w:val="0"/>
                <w:lang w:val="en-US" w:eastAsia="zh-CN"/>
              </w:rPr>
              <w:t>BetaO2技术有限公司是一家生物医药公司，正在开发用于治疗1型糖尿病（T1D）的生物人工胰腺（BAP）。Beta-O2开发了ŸAir®装置，其中含有天然生物胰腺细胞，能够以实时模式检测血液系统中的葡萄糖水平，并自发分泌胰岛素。 这种独特的装置可以移植合适的细胞，而无需将患者置于免疫抑制药物上。 与移植完整器官的其他器官移植相反，在糖尿病的情况下，只移植相关细胞，而ŸAir®装置为这些细胞的繁殖和功能提供了最佳环境。 除了为细胞提供安全的环境之外，细胞受到保护免受免疫系统的影响，并且受体免受细胞的侵害，ŸAir®装置还允许向植入的细胞主动供应氧气，这是一项重大突破</w:t>
            </w:r>
          </w:p>
        </w:tc>
        <w:tc>
          <w:tcPr>
            <w:tcW w:w="3193" w:type="dxa"/>
            <w:shd w:val="clear" w:color="auto" w:fill="auto"/>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7" w:hRule="atLeast"/>
          <w:jc w:val="center"/>
        </w:trPr>
        <w:tc>
          <w:tcPr>
            <w:tcW w:w="14950" w:type="dxa"/>
            <w:gridSpan w:val="6"/>
            <w:shd w:val="clear" w:color="auto" w:fill="B8CCE4" w:themeFill="accent1" w:themeFillTint="66"/>
            <w:vAlign w:val="center"/>
          </w:tcPr>
          <w:p>
            <w:pPr>
              <w:jc w:val="center"/>
              <w:rPr>
                <w:rFonts w:hint="eastAsia"/>
                <w:b/>
                <w:lang w:eastAsia="zh-CN"/>
              </w:rPr>
            </w:pPr>
            <w:r>
              <w:rPr>
                <w:rFonts w:hint="eastAsia"/>
                <w:b/>
                <w:lang w:eastAsia="zh-CN"/>
              </w:rPr>
              <w:t>清洁技术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7" w:hRule="atLeast"/>
          <w:jc w:val="center"/>
        </w:trPr>
        <w:tc>
          <w:tcPr>
            <w:tcW w:w="848" w:type="dxa"/>
            <w:shd w:val="clear" w:color="auto" w:fill="auto"/>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C-01</w:t>
            </w:r>
          </w:p>
        </w:tc>
        <w:tc>
          <w:tcPr>
            <w:tcW w:w="1665" w:type="dxa"/>
            <w:shd w:val="clear" w:color="auto" w:fill="auto"/>
            <w:vAlign w:val="center"/>
          </w:tcPr>
          <w:p>
            <w:pPr>
              <w:jc w:val="center"/>
              <w:rPr>
                <w:rFonts w:hint="eastAsia"/>
                <w:kern w:val="0"/>
                <w:sz w:val="22"/>
              </w:rPr>
            </w:pPr>
            <w:r>
              <w:rPr>
                <w:rFonts w:hint="eastAsia"/>
              </w:rPr>
              <w:t>Boson Est Ltd.</w:t>
            </w:r>
          </w:p>
        </w:tc>
        <w:tc>
          <w:tcPr>
            <w:tcW w:w="1518" w:type="dxa"/>
            <w:shd w:val="clear" w:color="auto" w:fill="auto"/>
            <w:vAlign w:val="center"/>
          </w:tcPr>
          <w:p>
            <w:pPr>
              <w:jc w:val="center"/>
              <w:rPr>
                <w:rFonts w:hint="eastAsia"/>
                <w:lang w:val="en-US" w:eastAsia="zh-CN"/>
              </w:rPr>
            </w:pPr>
            <w:r>
              <w:rPr>
                <w:rFonts w:hint="eastAsia" w:ascii="Times New Roman" w:hAnsi="Times New Roman" w:cs="Times New Roman"/>
                <w:sz w:val="22"/>
                <w:lang w:eastAsia="zh-CN"/>
              </w:rPr>
              <w:t>化学和工业废物处理解决方案</w:t>
            </w:r>
          </w:p>
        </w:tc>
        <w:tc>
          <w:tcPr>
            <w:tcW w:w="1952" w:type="dxa"/>
            <w:shd w:val="clear" w:color="auto" w:fill="auto"/>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清洁技术</w:t>
            </w:r>
          </w:p>
        </w:tc>
        <w:tc>
          <w:tcPr>
            <w:tcW w:w="5774" w:type="dxa"/>
            <w:shd w:val="clear" w:color="auto" w:fill="auto"/>
            <w:vAlign w:val="center"/>
          </w:tcPr>
          <w:p>
            <w:pPr>
              <w:jc w:val="left"/>
              <w:rPr>
                <w:rFonts w:hint="eastAsia"/>
                <w:lang w:val="en-US" w:eastAsia="zh-CN"/>
              </w:rPr>
            </w:pPr>
            <w:r>
              <w:rPr>
                <w:rFonts w:hint="eastAsia"/>
                <w:lang w:val="en-US" w:eastAsia="zh-CN"/>
              </w:rPr>
              <w:t>Boson Est Ltd.是一家私有的清洁技术公司，开发了一种独特的废物处理解决方案，开创了环境技术的新领域。</w:t>
            </w:r>
          </w:p>
          <w:p>
            <w:pPr>
              <w:jc w:val="left"/>
              <w:rPr>
                <w:rFonts w:hint="eastAsia"/>
                <w:lang w:val="en-US" w:eastAsia="zh-CN"/>
              </w:rPr>
            </w:pPr>
            <w:r>
              <w:rPr>
                <w:rFonts w:hint="eastAsia"/>
                <w:lang w:val="en-US" w:eastAsia="zh-CN"/>
              </w:rPr>
              <w:t>E.S.T Systems是一种环保节能系统，可广泛用于化学和工业危险废物流的现场处理。因此，在化学废物处理过程中显著减少温室气体的产生，同时改善我们呼吸的空气质量。</w:t>
            </w:r>
          </w:p>
          <w:p>
            <w:pPr>
              <w:jc w:val="left"/>
              <w:rPr>
                <w:rFonts w:hint="eastAsia"/>
                <w:b w:val="0"/>
                <w:bCs w:val="0"/>
                <w:lang w:val="en-US" w:eastAsia="zh-CN"/>
              </w:rPr>
            </w:pPr>
            <w:r>
              <w:rPr>
                <w:rFonts w:hint="eastAsia"/>
                <w:lang w:val="en-US" w:eastAsia="zh-CN"/>
              </w:rPr>
              <w:t>E.S.T拥有高度专业的员工，其中包括经验丰富的化学和电气工程师。</w:t>
            </w:r>
          </w:p>
        </w:tc>
        <w:tc>
          <w:tcPr>
            <w:tcW w:w="3193" w:type="dxa"/>
            <w:shd w:val="clear" w:color="auto" w:fill="auto"/>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7" w:hRule="atLeast"/>
          <w:jc w:val="center"/>
        </w:trPr>
        <w:tc>
          <w:tcPr>
            <w:tcW w:w="848" w:type="dxa"/>
            <w:shd w:val="clear" w:color="auto" w:fill="auto"/>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C-02</w:t>
            </w:r>
          </w:p>
        </w:tc>
        <w:tc>
          <w:tcPr>
            <w:tcW w:w="1665" w:type="dxa"/>
            <w:shd w:val="clear" w:color="auto" w:fill="auto"/>
            <w:vAlign w:val="center"/>
          </w:tcPr>
          <w:p>
            <w:pPr>
              <w:jc w:val="center"/>
              <w:rPr>
                <w:rFonts w:hint="eastAsia"/>
              </w:rPr>
            </w:pPr>
            <w:r>
              <w:rPr>
                <w:rFonts w:hint="eastAsia"/>
              </w:rPr>
              <w:t>Salamandra Zone</w:t>
            </w:r>
          </w:p>
        </w:tc>
        <w:tc>
          <w:tcPr>
            <w:tcW w:w="1518" w:type="dxa"/>
            <w:shd w:val="clear" w:color="auto" w:fill="auto"/>
            <w:vAlign w:val="center"/>
          </w:tcPr>
          <w:p>
            <w:pPr>
              <w:jc w:val="center"/>
              <w:rPr>
                <w:rFonts w:hint="eastAsia" w:ascii="Times New Roman" w:hAnsi="Times New Roman" w:cs="Times New Roman"/>
                <w:sz w:val="22"/>
                <w:lang w:eastAsia="zh-CN"/>
              </w:rPr>
            </w:pPr>
            <w:r>
              <w:rPr>
                <w:rFonts w:hint="eastAsia" w:ascii="Times New Roman" w:hAnsi="Times New Roman" w:cs="Times New Roman"/>
                <w:sz w:val="22"/>
                <w:lang w:eastAsia="zh-CN"/>
              </w:rPr>
              <w:t>可将有毒气体转化为可呼吸空气的空气净化解决方案</w:t>
            </w:r>
          </w:p>
        </w:tc>
        <w:tc>
          <w:tcPr>
            <w:tcW w:w="1952" w:type="dxa"/>
            <w:shd w:val="clear" w:color="auto" w:fill="auto"/>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清洁技术</w:t>
            </w:r>
          </w:p>
        </w:tc>
        <w:tc>
          <w:tcPr>
            <w:tcW w:w="5774" w:type="dxa"/>
            <w:shd w:val="clear" w:color="auto" w:fill="auto"/>
            <w:vAlign w:val="center"/>
          </w:tcPr>
          <w:p>
            <w:pPr>
              <w:jc w:val="left"/>
              <w:rPr>
                <w:rFonts w:hint="eastAsia"/>
                <w:lang w:val="en-US" w:eastAsia="zh-CN"/>
              </w:rPr>
            </w:pPr>
            <w:r>
              <w:rPr>
                <w:rFonts w:hint="eastAsia"/>
                <w:lang w:val="en-US" w:eastAsia="zh-CN"/>
              </w:rPr>
              <w:t>Salamandra Zone是一家创新的空气技术初创公司，提供原创的、专利的空气净化解决方案。通过与希伯来大学顶尖科学家三年多的合作研究，Salamandra zone发明了一种革命性的工艺，它消耗污染和有毒气体，并将它们转化为安全可呼吸的空气。公司的愿景是通过净化空气，为城市社区提供福祉和安全。革命性的核心技术解决了住宅、商业和工业部门的空气处理需求。</w:t>
            </w:r>
          </w:p>
        </w:tc>
        <w:tc>
          <w:tcPr>
            <w:tcW w:w="3193" w:type="dxa"/>
            <w:shd w:val="clear" w:color="auto" w:fill="auto"/>
            <w:vAlign w:val="center"/>
          </w:tcPr>
          <w:p>
            <w:pPr>
              <w:jc w:val="left"/>
              <w:rPr>
                <w:rFonts w:hint="eastAsia" w:ascii="Times New Roman" w:hAnsi="Times New Roman" w:cs="Times New Roman"/>
                <w:sz w:val="22"/>
                <w:lang w:eastAsia="zh-CN"/>
              </w:rPr>
            </w:pPr>
            <w:r>
              <w:rPr>
                <w:rFonts w:hint="eastAsia"/>
                <w:lang w:val="en-US" w:eastAsia="zh-CN"/>
              </w:rPr>
              <w:t>寻求战略伙伴关系和合作，共同开发和上市</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default" w:ascii="Times New Roman" w:hAnsi="Times New Roman" w:cs="Times New Roman"/>
                <w:b/>
                <w:sz w:val="22"/>
                <w:lang w:val="en-US" w:eastAsia="zh-CN"/>
              </w:rPr>
            </w:pPr>
            <w:r>
              <w:rPr>
                <w:rFonts w:hint="eastAsia" w:ascii="Times New Roman" w:hAnsi="Times New Roman" w:cs="Times New Roman"/>
                <w:b/>
                <w:sz w:val="22"/>
                <w:lang w:val="en-US" w:eastAsia="zh-CN"/>
              </w:rPr>
              <w:t>C-03</w:t>
            </w:r>
          </w:p>
        </w:tc>
        <w:tc>
          <w:tcPr>
            <w:tcW w:w="1665" w:type="dxa"/>
            <w:vAlign w:val="center"/>
          </w:tcPr>
          <w:p>
            <w:pPr>
              <w:jc w:val="center"/>
              <w:rPr>
                <w:rFonts w:hint="eastAsia"/>
              </w:rPr>
            </w:pPr>
            <w:r>
              <w:rPr>
                <w:rFonts w:hint="eastAsia"/>
              </w:rPr>
              <w:t>POCELLTECH</w:t>
            </w:r>
          </w:p>
        </w:tc>
        <w:tc>
          <w:tcPr>
            <w:tcW w:w="1518" w:type="dxa"/>
            <w:vAlign w:val="center"/>
          </w:tcPr>
          <w:p>
            <w:pPr>
              <w:jc w:val="center"/>
              <w:rPr>
                <w:rFonts w:hint="eastAsia" w:ascii="Times New Roman" w:hAnsi="Times New Roman" w:cs="Times New Roman"/>
                <w:sz w:val="22"/>
                <w:lang w:eastAsia="zh-CN"/>
              </w:rPr>
            </w:pPr>
            <w:r>
              <w:rPr>
                <w:rFonts w:hint="eastAsia" w:ascii="Times New Roman" w:hAnsi="Times New Roman" w:cs="Times New Roman"/>
                <w:sz w:val="22"/>
                <w:lang w:eastAsia="zh-CN"/>
              </w:rPr>
              <w:t>氢氧化物交换膜燃料电池技术</w:t>
            </w:r>
          </w:p>
        </w:tc>
        <w:tc>
          <w:tcPr>
            <w:tcW w:w="195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清洁技术</w:t>
            </w:r>
          </w:p>
        </w:tc>
        <w:tc>
          <w:tcPr>
            <w:tcW w:w="5774" w:type="dxa"/>
            <w:vAlign w:val="center"/>
          </w:tcPr>
          <w:p>
            <w:pPr>
              <w:jc w:val="left"/>
              <w:rPr>
                <w:rFonts w:hint="eastAsia"/>
                <w:lang w:val="en-US" w:eastAsia="zh-CN"/>
              </w:rPr>
            </w:pPr>
            <w:r>
              <w:rPr>
                <w:rFonts w:hint="eastAsia"/>
                <w:lang w:val="en-US" w:eastAsia="zh-CN"/>
              </w:rPr>
              <w:t>在过去十年中，PO-CELLTECH组建了世界领先的团队，开发基于非酸性化学、复合膜和先进水管理的颠覆性燃料电池技术。 我们的方法保留了氢能质子交换膜（PEM）技术的特性，使其适用于汽车领域的应用，同时通过允许超低贵金属负载，低成本硬件和低于95°C的操作温度，实现了强大的材料系统成本节约。</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C-04</w:t>
            </w:r>
          </w:p>
        </w:tc>
        <w:tc>
          <w:tcPr>
            <w:tcW w:w="1665" w:type="dxa"/>
            <w:vAlign w:val="center"/>
          </w:tcPr>
          <w:p>
            <w:pPr>
              <w:jc w:val="center"/>
              <w:rPr>
                <w:rFonts w:hint="eastAsia"/>
              </w:rPr>
            </w:pPr>
            <w:r>
              <w:rPr>
                <w:rFonts w:hint="eastAsia"/>
              </w:rPr>
              <w:t>Stream Control</w:t>
            </w:r>
          </w:p>
        </w:tc>
        <w:tc>
          <w:tcPr>
            <w:tcW w:w="1518" w:type="dxa"/>
            <w:vAlign w:val="center"/>
          </w:tcPr>
          <w:p>
            <w:pPr>
              <w:jc w:val="center"/>
              <w:rPr>
                <w:rFonts w:hint="eastAsia" w:ascii="Times New Roman" w:hAnsi="Times New Roman" w:cs="Times New Roman"/>
                <w:sz w:val="22"/>
                <w:lang w:eastAsia="zh-CN"/>
              </w:rPr>
            </w:pPr>
            <w:r>
              <w:rPr>
                <w:rFonts w:hint="eastAsia" w:ascii="Times New Roman" w:hAnsi="Times New Roman" w:cs="Times New Roman"/>
                <w:sz w:val="22"/>
                <w:lang w:eastAsia="zh-CN"/>
              </w:rPr>
              <w:t>提高自来水公司运营效率的解决方案</w:t>
            </w:r>
          </w:p>
        </w:tc>
        <w:tc>
          <w:tcPr>
            <w:tcW w:w="195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清洁技术</w:t>
            </w:r>
          </w:p>
        </w:tc>
        <w:tc>
          <w:tcPr>
            <w:tcW w:w="5774" w:type="dxa"/>
            <w:vAlign w:val="center"/>
          </w:tcPr>
          <w:p>
            <w:pPr>
              <w:jc w:val="left"/>
              <w:rPr>
                <w:rFonts w:hint="eastAsia"/>
                <w:lang w:val="en-US" w:eastAsia="zh-CN"/>
              </w:rPr>
            </w:pPr>
            <w:r>
              <w:rPr>
                <w:rFonts w:hint="eastAsia"/>
              </w:rPr>
              <w:t>Stream Control</w:t>
            </w:r>
            <w:r>
              <w:rPr>
                <w:rFonts w:hint="eastAsia"/>
                <w:lang w:val="en-US" w:eastAsia="zh-CN"/>
              </w:rPr>
              <w:t>提供了解决方案，使自来水公司能够节约用水，提高盈利能力和更好地管理他们的网络。我们的解决方案Aqua-Guard是一个用于动态压力管理的集成系统。Aqua-Guard提供实时压力管理，降低泄漏，减少管道爆裂，并提供数据分析，帮助其提高整体运营效率。</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C-05</w:t>
            </w:r>
          </w:p>
        </w:tc>
        <w:tc>
          <w:tcPr>
            <w:tcW w:w="1665" w:type="dxa"/>
            <w:vAlign w:val="center"/>
          </w:tcPr>
          <w:p>
            <w:pPr>
              <w:jc w:val="center"/>
              <w:rPr>
                <w:rFonts w:hint="eastAsia"/>
              </w:rPr>
            </w:pPr>
            <w:r>
              <w:rPr>
                <w:rFonts w:hint="eastAsia"/>
              </w:rPr>
              <w:t>Tevatronic</w:t>
            </w:r>
          </w:p>
        </w:tc>
        <w:tc>
          <w:tcPr>
            <w:tcW w:w="1518" w:type="dxa"/>
            <w:vAlign w:val="center"/>
          </w:tcPr>
          <w:p>
            <w:pPr>
              <w:jc w:val="center"/>
              <w:rPr>
                <w:rFonts w:hint="eastAsia" w:ascii="Times New Roman" w:hAnsi="Times New Roman" w:cs="Times New Roman"/>
                <w:sz w:val="22"/>
                <w:lang w:eastAsia="zh-CN"/>
              </w:rPr>
            </w:pPr>
            <w:r>
              <w:rPr>
                <w:rFonts w:hint="eastAsia" w:ascii="Times New Roman" w:hAnsi="Times New Roman" w:cs="Times New Roman"/>
                <w:sz w:val="22"/>
                <w:lang w:eastAsia="zh-CN"/>
              </w:rPr>
              <w:t>精准灌溉解决方案</w:t>
            </w:r>
          </w:p>
        </w:tc>
        <w:tc>
          <w:tcPr>
            <w:tcW w:w="195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清洁技术</w:t>
            </w:r>
          </w:p>
        </w:tc>
        <w:tc>
          <w:tcPr>
            <w:tcW w:w="5774" w:type="dxa"/>
            <w:vAlign w:val="center"/>
          </w:tcPr>
          <w:p>
            <w:pPr>
              <w:jc w:val="left"/>
              <w:rPr>
                <w:rFonts w:hint="eastAsia"/>
              </w:rPr>
            </w:pPr>
            <w:r>
              <w:rPr>
                <w:rFonts w:hint="eastAsia"/>
                <w:lang w:val="en-US" w:eastAsia="zh-CN"/>
              </w:rPr>
              <w:t>Tevatronic开发了一套自主灌溉控制系统，用于确定植物需要多少水，并在精确的时间内提供。该系统促进作物健康和生产力的提高，同时降低水和肥料的使用，从而减少土壤污染。Tevatronic系统的核心是无线土壤传感器(张力计)，它通过灌溉控制器连接到云服务器。传感器安装在每个灌区。Tevatronic的算法计算了应该持续灌溉多长时间，当时间到了，灌溉就停止了。最终，植物通过与新的灌溉方法相结合来控制自己的灌溉。该系统已经在以色列和国外进行了商业安装。</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7" w:hRule="atLeast"/>
          <w:jc w:val="center"/>
        </w:trPr>
        <w:tc>
          <w:tcPr>
            <w:tcW w:w="848" w:type="dxa"/>
            <w:shd w:val="clear" w:color="auto" w:fill="auto"/>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C-06</w:t>
            </w:r>
          </w:p>
        </w:tc>
        <w:tc>
          <w:tcPr>
            <w:tcW w:w="1665" w:type="dxa"/>
            <w:shd w:val="clear" w:color="auto" w:fill="auto"/>
            <w:vAlign w:val="center"/>
          </w:tcPr>
          <w:p>
            <w:pPr>
              <w:jc w:val="center"/>
              <w:rPr>
                <w:rFonts w:hint="eastAsia"/>
              </w:rPr>
            </w:pPr>
            <w:r>
              <w:rPr>
                <w:rFonts w:hint="eastAsia"/>
              </w:rPr>
              <w:t>Brenmiller Energy</w:t>
            </w:r>
          </w:p>
        </w:tc>
        <w:tc>
          <w:tcPr>
            <w:tcW w:w="1518" w:type="dxa"/>
            <w:shd w:val="clear" w:color="auto" w:fill="auto"/>
            <w:vAlign w:val="center"/>
          </w:tcPr>
          <w:p>
            <w:pPr>
              <w:jc w:val="center"/>
              <w:rPr>
                <w:rFonts w:hint="eastAsia" w:ascii="Times New Roman" w:hAnsi="Times New Roman" w:cs="Times New Roman"/>
                <w:sz w:val="22"/>
                <w:lang w:eastAsia="zh-CN"/>
              </w:rPr>
            </w:pPr>
            <w:r>
              <w:rPr>
                <w:rFonts w:hint="eastAsia" w:ascii="Times New Roman" w:hAnsi="Times New Roman" w:cs="Times New Roman"/>
                <w:sz w:val="22"/>
                <w:lang w:val="en-US" w:eastAsia="zh-CN"/>
              </w:rPr>
              <w:t>基于碎石的分布式发电解决方案</w:t>
            </w:r>
          </w:p>
        </w:tc>
        <w:tc>
          <w:tcPr>
            <w:tcW w:w="1952" w:type="dxa"/>
            <w:shd w:val="clear" w:color="auto" w:fill="auto"/>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清洁技术</w:t>
            </w:r>
          </w:p>
        </w:tc>
        <w:tc>
          <w:tcPr>
            <w:tcW w:w="5774" w:type="dxa"/>
            <w:shd w:val="clear" w:color="auto" w:fill="auto"/>
            <w:vAlign w:val="center"/>
          </w:tcPr>
          <w:p>
            <w:pPr>
              <w:jc w:val="left"/>
              <w:rPr>
                <w:rFonts w:hint="eastAsia"/>
                <w:lang w:val="en-US" w:eastAsia="zh-CN"/>
              </w:rPr>
            </w:pPr>
            <w:r>
              <w:rPr>
                <w:rFonts w:hint="eastAsia"/>
                <w:lang w:val="en-US" w:eastAsia="zh-CN"/>
              </w:rPr>
              <w:t>Brenmiller Energy基于其独特的存储技术，为分布式发电市场提供可持续能源解决方案。bGen是一种基于碎石的专利热能储存发电机组，允许进行数万次充电/放电循环而不会降低性能。该公司由西门子CSP和Solel前首席执行官Avi Brenmiller和可再生能源领域的专家团队于2012年创立。 Brenmiller Energy的知识和专业背景具有良好的基础，是其基于在西班牙和美国的超过500MW的太阳能发电厂的设计，建造和运营方面的多年实践经验。该公司于2017年首次公开发行股票，并在特拉维夫证券交易所上市。</w:t>
            </w:r>
          </w:p>
        </w:tc>
        <w:tc>
          <w:tcPr>
            <w:tcW w:w="3193" w:type="dxa"/>
            <w:shd w:val="clear" w:color="auto" w:fill="auto"/>
            <w:vAlign w:val="center"/>
          </w:tcPr>
          <w:p>
            <w:pPr>
              <w:jc w:val="left"/>
              <w:rPr>
                <w:rFonts w:hint="eastAsia"/>
                <w:lang w:val="en-US" w:eastAsia="zh-CN"/>
              </w:rPr>
            </w:pPr>
            <w:r>
              <w:rPr>
                <w:rFonts w:hint="eastAsia" w:ascii="Times New Roman" w:hAnsi="Times New Roman" w:cs="Times New Roman"/>
                <w:kern w:val="0"/>
                <w:sz w:val="22"/>
                <w:lang w:eastAsia="zh-CN"/>
              </w:rPr>
              <w:t>寻求投资及合作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7" w:hRule="atLeast"/>
          <w:jc w:val="center"/>
        </w:trPr>
        <w:tc>
          <w:tcPr>
            <w:tcW w:w="848" w:type="dxa"/>
            <w:shd w:val="clear" w:color="auto" w:fill="auto"/>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C-07</w:t>
            </w:r>
          </w:p>
        </w:tc>
        <w:tc>
          <w:tcPr>
            <w:tcW w:w="1665" w:type="dxa"/>
            <w:shd w:val="clear" w:color="auto" w:fill="auto"/>
            <w:vAlign w:val="center"/>
          </w:tcPr>
          <w:p>
            <w:pPr>
              <w:jc w:val="center"/>
              <w:rPr>
                <w:rFonts w:hint="eastAsia"/>
              </w:rPr>
            </w:pPr>
            <w:r>
              <w:rPr>
                <w:rFonts w:hint="eastAsia"/>
              </w:rPr>
              <w:t>eggXYt</w:t>
            </w:r>
          </w:p>
        </w:tc>
        <w:tc>
          <w:tcPr>
            <w:tcW w:w="1518" w:type="dxa"/>
            <w:shd w:val="clear" w:color="auto" w:fill="auto"/>
            <w:vAlign w:val="center"/>
          </w:tcPr>
          <w:p>
            <w:pPr>
              <w:jc w:val="center"/>
              <w:rPr>
                <w:rFonts w:hint="eastAsia" w:ascii="Times New Roman" w:hAnsi="Times New Roman" w:cs="Times New Roman"/>
                <w:sz w:val="22"/>
                <w:lang w:val="en-US" w:eastAsia="zh-CN"/>
              </w:rPr>
            </w:pPr>
            <w:r>
              <w:rPr>
                <w:rFonts w:hint="eastAsia" w:ascii="Times New Roman" w:hAnsi="Times New Roman" w:cs="Times New Roman"/>
                <w:sz w:val="22"/>
                <w:lang w:eastAsia="zh-CN"/>
              </w:rPr>
              <w:t>为蛋业提供孵化前数量及性别监测的解决方案</w:t>
            </w:r>
          </w:p>
        </w:tc>
        <w:tc>
          <w:tcPr>
            <w:tcW w:w="1952" w:type="dxa"/>
            <w:shd w:val="clear" w:color="auto" w:fill="auto"/>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清洁技术</w:t>
            </w:r>
          </w:p>
        </w:tc>
        <w:tc>
          <w:tcPr>
            <w:tcW w:w="5774" w:type="dxa"/>
            <w:shd w:val="clear" w:color="auto" w:fill="auto"/>
            <w:vAlign w:val="center"/>
          </w:tcPr>
          <w:p>
            <w:pPr>
              <w:jc w:val="left"/>
              <w:rPr>
                <w:rFonts w:hint="eastAsia"/>
                <w:lang w:val="en-US" w:eastAsia="zh-CN"/>
              </w:rPr>
            </w:pPr>
            <w:r>
              <w:rPr>
                <w:rFonts w:hint="eastAsia"/>
                <w:lang w:val="en-US" w:eastAsia="zh-CN"/>
              </w:rPr>
              <w:t>eggXYt利用遗传学和精准农业方面的最新科学进展，为畜牧业提供更好的成果，同时在这一过程中改善动物福利。eggXYt可以在小鸡孵出来之前计算小鸡的性别和数量——挽救了80亿只蛋鸡的生命，为蛋业节省了数十亿美元，并为全球供应增加了80亿个鸡蛋。利用鸡胚胎雄性染色体上的生物标记，一旦下蛋，在小鸡孵化之前，小鸡的性别就能被检测出来。</w:t>
            </w:r>
          </w:p>
        </w:tc>
        <w:tc>
          <w:tcPr>
            <w:tcW w:w="3193" w:type="dxa"/>
            <w:shd w:val="clear" w:color="auto" w:fill="auto"/>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bl>
    <w:p>
      <w:pPr>
        <w:rPr>
          <w:rFonts w:hint="eastAsia" w:cs="Times New Roman" w:asciiTheme="minorEastAsia" w:hAnsiTheme="minorEastAsia" w:eastAsiaTheme="minorEastAsia"/>
          <w:strike/>
          <w:sz w:val="22"/>
          <w:lang w:val="en-US" w:eastAsia="zh-CN"/>
        </w:rPr>
      </w:pPr>
    </w:p>
    <w:p/>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0FBC"/>
    <w:rsid w:val="00017E21"/>
    <w:rsid w:val="00033BEE"/>
    <w:rsid w:val="00035E12"/>
    <w:rsid w:val="00052E8E"/>
    <w:rsid w:val="000B0B75"/>
    <w:rsid w:val="000D4BBA"/>
    <w:rsid w:val="000D6FAA"/>
    <w:rsid w:val="0010559B"/>
    <w:rsid w:val="001104D2"/>
    <w:rsid w:val="00110FBC"/>
    <w:rsid w:val="001224C5"/>
    <w:rsid w:val="00124E1B"/>
    <w:rsid w:val="001301D0"/>
    <w:rsid w:val="00157554"/>
    <w:rsid w:val="00162135"/>
    <w:rsid w:val="00170B2E"/>
    <w:rsid w:val="0017584A"/>
    <w:rsid w:val="00192B1D"/>
    <w:rsid w:val="001C0CEB"/>
    <w:rsid w:val="001D12E3"/>
    <w:rsid w:val="001E355F"/>
    <w:rsid w:val="001E7CD2"/>
    <w:rsid w:val="001F02D2"/>
    <w:rsid w:val="001F67DC"/>
    <w:rsid w:val="001F7D47"/>
    <w:rsid w:val="002031E0"/>
    <w:rsid w:val="00211676"/>
    <w:rsid w:val="00227CF7"/>
    <w:rsid w:val="00235D94"/>
    <w:rsid w:val="002529B0"/>
    <w:rsid w:val="00276BE1"/>
    <w:rsid w:val="00290D82"/>
    <w:rsid w:val="00297F53"/>
    <w:rsid w:val="002A45E8"/>
    <w:rsid w:val="002C72FE"/>
    <w:rsid w:val="002D4AD0"/>
    <w:rsid w:val="00320B1C"/>
    <w:rsid w:val="003245A8"/>
    <w:rsid w:val="0032498D"/>
    <w:rsid w:val="00340839"/>
    <w:rsid w:val="003426F1"/>
    <w:rsid w:val="00366E8F"/>
    <w:rsid w:val="00383A5A"/>
    <w:rsid w:val="00393736"/>
    <w:rsid w:val="00396B86"/>
    <w:rsid w:val="003A143A"/>
    <w:rsid w:val="003F10FD"/>
    <w:rsid w:val="003F7BC4"/>
    <w:rsid w:val="00401196"/>
    <w:rsid w:val="00426E97"/>
    <w:rsid w:val="00437026"/>
    <w:rsid w:val="004403C5"/>
    <w:rsid w:val="00451C2C"/>
    <w:rsid w:val="00453538"/>
    <w:rsid w:val="004557D6"/>
    <w:rsid w:val="00470E59"/>
    <w:rsid w:val="00493E64"/>
    <w:rsid w:val="00494B4D"/>
    <w:rsid w:val="004A4709"/>
    <w:rsid w:val="004B5993"/>
    <w:rsid w:val="004C1624"/>
    <w:rsid w:val="004D33C9"/>
    <w:rsid w:val="00524D61"/>
    <w:rsid w:val="00553F1D"/>
    <w:rsid w:val="00555AB0"/>
    <w:rsid w:val="00562CEA"/>
    <w:rsid w:val="00564154"/>
    <w:rsid w:val="005817AE"/>
    <w:rsid w:val="00587237"/>
    <w:rsid w:val="005B69FE"/>
    <w:rsid w:val="005C0C9D"/>
    <w:rsid w:val="005C2551"/>
    <w:rsid w:val="005E3EAE"/>
    <w:rsid w:val="005E4C03"/>
    <w:rsid w:val="005E6834"/>
    <w:rsid w:val="005F3DE2"/>
    <w:rsid w:val="00600172"/>
    <w:rsid w:val="00614004"/>
    <w:rsid w:val="00615E6F"/>
    <w:rsid w:val="00665D74"/>
    <w:rsid w:val="0069301B"/>
    <w:rsid w:val="006B5153"/>
    <w:rsid w:val="006C6863"/>
    <w:rsid w:val="006E216B"/>
    <w:rsid w:val="006F3CCF"/>
    <w:rsid w:val="0070080A"/>
    <w:rsid w:val="00707B17"/>
    <w:rsid w:val="007370C4"/>
    <w:rsid w:val="007602A6"/>
    <w:rsid w:val="00775350"/>
    <w:rsid w:val="00775427"/>
    <w:rsid w:val="00781CF9"/>
    <w:rsid w:val="0078354F"/>
    <w:rsid w:val="007A0D90"/>
    <w:rsid w:val="007A50E9"/>
    <w:rsid w:val="007A7AD6"/>
    <w:rsid w:val="007B37D5"/>
    <w:rsid w:val="007C40C0"/>
    <w:rsid w:val="007D418E"/>
    <w:rsid w:val="007D7C39"/>
    <w:rsid w:val="0080016D"/>
    <w:rsid w:val="00815FAF"/>
    <w:rsid w:val="00824066"/>
    <w:rsid w:val="00827C56"/>
    <w:rsid w:val="00840DFE"/>
    <w:rsid w:val="0084505F"/>
    <w:rsid w:val="00852A0F"/>
    <w:rsid w:val="0086567F"/>
    <w:rsid w:val="008700E3"/>
    <w:rsid w:val="008B3C50"/>
    <w:rsid w:val="008B6FCE"/>
    <w:rsid w:val="008B7185"/>
    <w:rsid w:val="008E5264"/>
    <w:rsid w:val="008E7DF3"/>
    <w:rsid w:val="008F7F5B"/>
    <w:rsid w:val="00930DEE"/>
    <w:rsid w:val="00954FAB"/>
    <w:rsid w:val="0096121F"/>
    <w:rsid w:val="009731B5"/>
    <w:rsid w:val="00974306"/>
    <w:rsid w:val="00992CB7"/>
    <w:rsid w:val="009B2291"/>
    <w:rsid w:val="009C3777"/>
    <w:rsid w:val="009C5AC4"/>
    <w:rsid w:val="009D5E54"/>
    <w:rsid w:val="009F029F"/>
    <w:rsid w:val="00A02846"/>
    <w:rsid w:val="00A1562E"/>
    <w:rsid w:val="00A2296E"/>
    <w:rsid w:val="00A50E6C"/>
    <w:rsid w:val="00A70304"/>
    <w:rsid w:val="00A723C8"/>
    <w:rsid w:val="00A72564"/>
    <w:rsid w:val="00A74751"/>
    <w:rsid w:val="00A91F3A"/>
    <w:rsid w:val="00A93DF9"/>
    <w:rsid w:val="00AB0331"/>
    <w:rsid w:val="00AB41F3"/>
    <w:rsid w:val="00AE1058"/>
    <w:rsid w:val="00AF0376"/>
    <w:rsid w:val="00B03A02"/>
    <w:rsid w:val="00B04942"/>
    <w:rsid w:val="00B25D2E"/>
    <w:rsid w:val="00B51BFE"/>
    <w:rsid w:val="00B6332D"/>
    <w:rsid w:val="00B74A0E"/>
    <w:rsid w:val="00B75423"/>
    <w:rsid w:val="00B85EF4"/>
    <w:rsid w:val="00BC43EC"/>
    <w:rsid w:val="00C21838"/>
    <w:rsid w:val="00C22964"/>
    <w:rsid w:val="00C23CD7"/>
    <w:rsid w:val="00C24FA3"/>
    <w:rsid w:val="00C512DF"/>
    <w:rsid w:val="00C65EFF"/>
    <w:rsid w:val="00C7499E"/>
    <w:rsid w:val="00C74E6B"/>
    <w:rsid w:val="00C85890"/>
    <w:rsid w:val="00C93A52"/>
    <w:rsid w:val="00CC2DF7"/>
    <w:rsid w:val="00CF44F2"/>
    <w:rsid w:val="00D22E2D"/>
    <w:rsid w:val="00D278F8"/>
    <w:rsid w:val="00D30B95"/>
    <w:rsid w:val="00D33EA2"/>
    <w:rsid w:val="00D34E28"/>
    <w:rsid w:val="00D466EC"/>
    <w:rsid w:val="00D62A81"/>
    <w:rsid w:val="00D7239B"/>
    <w:rsid w:val="00D80545"/>
    <w:rsid w:val="00D8446D"/>
    <w:rsid w:val="00D90AEA"/>
    <w:rsid w:val="00D918EC"/>
    <w:rsid w:val="00DA74E3"/>
    <w:rsid w:val="00DC6146"/>
    <w:rsid w:val="00E215D3"/>
    <w:rsid w:val="00E2280F"/>
    <w:rsid w:val="00E33E73"/>
    <w:rsid w:val="00E509C0"/>
    <w:rsid w:val="00E66399"/>
    <w:rsid w:val="00E736BA"/>
    <w:rsid w:val="00E82D86"/>
    <w:rsid w:val="00E9689E"/>
    <w:rsid w:val="00EB7698"/>
    <w:rsid w:val="00F11BC3"/>
    <w:rsid w:val="00F32880"/>
    <w:rsid w:val="00F356D1"/>
    <w:rsid w:val="00F74726"/>
    <w:rsid w:val="00FB4B9B"/>
    <w:rsid w:val="00FC2F12"/>
    <w:rsid w:val="00FC517C"/>
    <w:rsid w:val="00FE5690"/>
    <w:rsid w:val="00FE6C95"/>
    <w:rsid w:val="065A7B45"/>
    <w:rsid w:val="0A557653"/>
    <w:rsid w:val="1D7E5C8E"/>
    <w:rsid w:val="1FD97241"/>
    <w:rsid w:val="21943E84"/>
    <w:rsid w:val="285C1380"/>
    <w:rsid w:val="400B44DC"/>
    <w:rsid w:val="42AE2B8B"/>
    <w:rsid w:val="47A51BB9"/>
    <w:rsid w:val="54C17B11"/>
    <w:rsid w:val="591506BA"/>
    <w:rsid w:val="5EBA3199"/>
    <w:rsid w:val="60060C18"/>
    <w:rsid w:val="6D594B6E"/>
    <w:rsid w:val="75D2326D"/>
    <w:rsid w:val="7B555D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paragraph" w:customStyle="1" w:styleId="9">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F8E5D5-EFEE-4E95-842B-EC637FAEBA20}">
  <ds:schemaRefs/>
</ds:datastoreItem>
</file>

<file path=docProps/app.xml><?xml version="1.0" encoding="utf-8"?>
<Properties xmlns="http://schemas.openxmlformats.org/officeDocument/2006/extended-properties" xmlns:vt="http://schemas.openxmlformats.org/officeDocument/2006/docPropsVTypes">
  <Template>Normal</Template>
  <Pages>4</Pages>
  <Words>530</Words>
  <Characters>3021</Characters>
  <Lines>25</Lines>
  <Paragraphs>7</Paragraphs>
  <TotalTime>3</TotalTime>
  <ScaleCrop>false</ScaleCrop>
  <LinksUpToDate>false</LinksUpToDate>
  <CharactersWithSpaces>3544</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2017-08-29T06:33:00Z</dcterms:created>
  <dc:creator>test</dc:creator>
  <cp:lastModifiedBy>Administrator</cp:lastModifiedBy>
  <dcterms:modified xsi:type="dcterms:W3CDTF">2019-10-10T02:21:27Z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